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B48" w:rsidRDefault="00EC1B48">
      <w:pPr>
        <w:pStyle w:val="Standard"/>
        <w:jc w:val="center"/>
        <w:rPr>
          <w:rFonts w:hint="eastAsia"/>
          <w:sz w:val="22"/>
          <w:szCs w:val="22"/>
        </w:rPr>
      </w:pPr>
      <w:bookmarkStart w:id="0" w:name="_GoBack"/>
      <w:bookmarkEnd w:id="0"/>
    </w:p>
    <w:p w:rsidR="00EC1B48" w:rsidRDefault="00DB03AD">
      <w:pPr>
        <w:pStyle w:val="Standard"/>
        <w:rPr>
          <w:rFonts w:hint="eastAsia"/>
          <w:sz w:val="22"/>
          <w:szCs w:val="22"/>
        </w:rPr>
      </w:pPr>
      <w:r>
        <w:rPr>
          <w:noProof/>
          <w:sz w:val="22"/>
          <w:szCs w:val="22"/>
          <w:lang w:eastAsia="hr-HR" w:bidi="ar-SA"/>
        </w:rPr>
        <mc:AlternateContent>
          <mc:Choice Requires="wps">
            <w:drawing>
              <wp:anchor distT="0" distB="0" distL="114300" distR="114300" simplePos="0" relativeHeight="251658240" behindDoc="0" locked="0" layoutInCell="1" allowOverlap="1">
                <wp:simplePos x="0" y="0"/>
                <wp:positionH relativeFrom="column">
                  <wp:posOffset>349920</wp:posOffset>
                </wp:positionH>
                <wp:positionV relativeFrom="paragraph">
                  <wp:posOffset>148680</wp:posOffset>
                </wp:positionV>
                <wp:extent cx="2400479" cy="1953000"/>
                <wp:effectExtent l="0" t="0" r="18871" b="28200"/>
                <wp:wrapNone/>
                <wp:docPr id="1" name="Shape1"/>
                <wp:cNvGraphicFramePr/>
                <a:graphic xmlns:a="http://schemas.openxmlformats.org/drawingml/2006/main">
                  <a:graphicData uri="http://schemas.microsoft.com/office/word/2010/wordprocessingShape">
                    <wps:wsp>
                      <wps:cNvSpPr txBox="1"/>
                      <wps:spPr>
                        <a:xfrm>
                          <a:off x="0" y="0"/>
                          <a:ext cx="2400479" cy="1953000"/>
                        </a:xfrm>
                        <a:prstGeom prst="rect">
                          <a:avLst/>
                        </a:prstGeom>
                        <a:solidFill>
                          <a:srgbClr val="CCCCCC"/>
                        </a:solidFill>
                        <a:ln>
                          <a:solidFill>
                            <a:srgbClr val="000000"/>
                          </a:solidFill>
                          <a:prstDash val="solid"/>
                        </a:ln>
                      </wps:spPr>
                      <wps:txbx>
                        <w:txbxContent>
                          <w:p w:rsidR="00EC1B48" w:rsidRDefault="00DB03AD">
                            <w:pPr>
                              <w:rPr>
                                <w:rFonts w:hint="eastAsia"/>
                              </w:rPr>
                            </w:pPr>
                            <w:r>
                              <w:t xml:space="preserve"> </w:t>
                            </w:r>
                          </w:p>
                          <w:p w:rsidR="00EC1B48" w:rsidRDefault="00DB03AD">
                            <w:pPr>
                              <w:rPr>
                                <w:rFonts w:hint="eastAsia"/>
                              </w:rPr>
                            </w:pPr>
                            <w:r>
                              <w:t xml:space="preserve">  </w:t>
                            </w:r>
                            <w:r>
                              <w:rPr>
                                <w:sz w:val="22"/>
                                <w:szCs w:val="22"/>
                              </w:rPr>
                              <w:t>ALTATORE  d.o.o. "u stečaju"</w:t>
                            </w:r>
                          </w:p>
                          <w:p w:rsidR="00EC1B48" w:rsidRDefault="00DB03AD">
                            <w:pPr>
                              <w:rPr>
                                <w:rFonts w:hint="eastAsia"/>
                              </w:rPr>
                            </w:pPr>
                            <w:r>
                              <w:rPr>
                                <w:sz w:val="22"/>
                                <w:szCs w:val="22"/>
                              </w:rPr>
                              <w:t xml:space="preserve">  Mali Lošinj, Gornja Bričina 44.</w:t>
                            </w:r>
                          </w:p>
                          <w:p w:rsidR="00EC1B48" w:rsidRDefault="00DB03AD">
                            <w:pPr>
                              <w:rPr>
                                <w:rFonts w:hint="eastAsia"/>
                              </w:rPr>
                            </w:pPr>
                            <w:r>
                              <w:rPr>
                                <w:sz w:val="22"/>
                                <w:szCs w:val="22"/>
                              </w:rPr>
                              <w:t xml:space="preserve">  St-1245/16, OIB: 10284140136</w:t>
                            </w:r>
                          </w:p>
                          <w:p w:rsidR="00EC1B48" w:rsidRDefault="00DB03AD">
                            <w:pPr>
                              <w:rPr>
                                <w:rFonts w:hint="eastAsia"/>
                              </w:rPr>
                            </w:pPr>
                            <w:r>
                              <w:rPr>
                                <w:sz w:val="22"/>
                                <w:szCs w:val="22"/>
                              </w:rPr>
                              <w:t xml:space="preserve">  Zastupan po stečajnom upravitelju</w:t>
                            </w:r>
                          </w:p>
                          <w:p w:rsidR="00EC1B48" w:rsidRDefault="00DB03AD">
                            <w:pPr>
                              <w:rPr>
                                <w:rFonts w:hint="eastAsia"/>
                              </w:rPr>
                            </w:pPr>
                            <w:r>
                              <w:rPr>
                                <w:sz w:val="22"/>
                                <w:szCs w:val="22"/>
                              </w:rPr>
                              <w:t xml:space="preserve">  Ratku Miklaušić, odvjetniku iz Rijeke</w:t>
                            </w:r>
                          </w:p>
                          <w:p w:rsidR="00EC1B48" w:rsidRDefault="00DB03AD">
                            <w:pPr>
                              <w:rPr>
                                <w:rFonts w:hint="eastAsia"/>
                              </w:rPr>
                            </w:pPr>
                            <w:r>
                              <w:rPr>
                                <w:sz w:val="22"/>
                                <w:szCs w:val="22"/>
                              </w:rPr>
                              <w:t xml:space="preserve">  </w:t>
                            </w:r>
                            <w:r>
                              <w:rPr>
                                <w:sz w:val="22"/>
                                <w:szCs w:val="22"/>
                              </w:rPr>
                              <w:t>Ciottina broj 20.</w:t>
                            </w:r>
                          </w:p>
                          <w:p w:rsidR="00EC1B48" w:rsidRDefault="00DB03AD">
                            <w:pPr>
                              <w:rPr>
                                <w:rFonts w:hint="eastAsia"/>
                              </w:rPr>
                            </w:pPr>
                            <w:r>
                              <w:rPr>
                                <w:sz w:val="22"/>
                                <w:szCs w:val="22"/>
                              </w:rPr>
                              <w:t xml:space="preserve">  Telefon: 331-777, 098/9382 870</w:t>
                            </w:r>
                          </w:p>
                          <w:p w:rsidR="00EC1B48" w:rsidRDefault="00DB03AD">
                            <w:pPr>
                              <w:rPr>
                                <w:rFonts w:hint="eastAsia"/>
                              </w:rPr>
                            </w:pPr>
                            <w:r>
                              <w:rPr>
                                <w:sz w:val="22"/>
                                <w:szCs w:val="22"/>
                              </w:rPr>
                              <w:t xml:space="preserve">  Email: rmiklaus@gmail.com</w:t>
                            </w:r>
                          </w:p>
                        </w:txbxContent>
                      </wps:txbx>
                      <wps:bodyPr vert="horz" wrap="none" lIns="0" tIns="0" rIns="0" bIns="0" compatLnSpc="0"/>
                    </wps:wsp>
                  </a:graphicData>
                </a:graphic>
              </wp:anchor>
            </w:drawing>
          </mc:Choice>
          <mc:Fallback>
            <w:pict>
              <v:shapetype id="_x0000_t202" coordsize="21600,21600" o:spt="202" path="m,l,21600r21600,l21600,xe">
                <v:stroke joinstyle="miter"/>
                <v:path gradientshapeok="t" o:connecttype="rect"/>
              </v:shapetype>
              <v:shape id="Shape1" o:spid="_x0000_s1026" type="#_x0000_t202" style="position:absolute;margin-left:27.55pt;margin-top:11.7pt;width:189pt;height:153.8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" fillcolor="#ccc">
                <v:textbox inset="0,0,0,0">
                  <w:txbxContent>
                    <w:p w:rsidR="00EC1B48" w:rsidRDefault="00DB03AD">
                      <w:pPr>
                        <w:rPr>
                          <w:rFonts w:hint="eastAsia"/>
                        </w:rPr>
                      </w:pPr>
                      <w:r>
                        <w:t xml:space="preserve"> </w:t>
                      </w:r>
                    </w:p>
                    <w:p w:rsidR="00EC1B48" w:rsidRDefault="00DB03AD">
                      <w:pPr>
                        <w:rPr>
                          <w:rFonts w:hint="eastAsia"/>
                        </w:rPr>
                      </w:pPr>
                      <w:r>
                        <w:t xml:space="preserve">  </w:t>
                      </w:r>
                      <w:r>
                        <w:rPr>
                          <w:sz w:val="22"/>
                          <w:szCs w:val="22"/>
                        </w:rPr>
                        <w:t>ALTATORE  d.o.o. "u stečaju"</w:t>
                      </w:r>
                    </w:p>
                    <w:p w:rsidR="00EC1B48" w:rsidRDefault="00DB03AD">
                      <w:pPr>
                        <w:rPr>
                          <w:rFonts w:hint="eastAsia"/>
                        </w:rPr>
                      </w:pPr>
                      <w:r>
                        <w:rPr>
                          <w:sz w:val="22"/>
                          <w:szCs w:val="22"/>
                        </w:rPr>
                        <w:t xml:space="preserve">  Mali Lošinj, Gornja Bričina 44.</w:t>
                      </w:r>
                    </w:p>
                    <w:p w:rsidR="00EC1B48" w:rsidRDefault="00DB03AD">
                      <w:pPr>
                        <w:rPr>
                          <w:rFonts w:hint="eastAsia"/>
                        </w:rPr>
                      </w:pPr>
                      <w:r>
                        <w:rPr>
                          <w:sz w:val="22"/>
                          <w:szCs w:val="22"/>
                        </w:rPr>
                        <w:t xml:space="preserve">  St-1245/16, OIB: 10284140136</w:t>
                      </w:r>
                    </w:p>
                    <w:p w:rsidR="00EC1B48" w:rsidRDefault="00DB03AD">
                      <w:pPr>
                        <w:rPr>
                          <w:rFonts w:hint="eastAsia"/>
                        </w:rPr>
                      </w:pPr>
                      <w:r>
                        <w:rPr>
                          <w:sz w:val="22"/>
                          <w:szCs w:val="22"/>
                        </w:rPr>
                        <w:t xml:space="preserve">  Zastupan po stečajnom upravitelju</w:t>
                      </w:r>
                    </w:p>
                    <w:p w:rsidR="00EC1B48" w:rsidRDefault="00DB03AD">
                      <w:pPr>
                        <w:rPr>
                          <w:rFonts w:hint="eastAsia"/>
                        </w:rPr>
                      </w:pPr>
                      <w:r>
                        <w:rPr>
                          <w:sz w:val="22"/>
                          <w:szCs w:val="22"/>
                        </w:rPr>
                        <w:t xml:space="preserve">  Ratku Miklaušić, odvjetniku iz Rijeke</w:t>
                      </w:r>
                    </w:p>
                    <w:p w:rsidR="00EC1B48" w:rsidRDefault="00DB03AD">
                      <w:pPr>
                        <w:rPr>
                          <w:rFonts w:hint="eastAsia"/>
                        </w:rPr>
                      </w:pPr>
                      <w:r>
                        <w:rPr>
                          <w:sz w:val="22"/>
                          <w:szCs w:val="22"/>
                        </w:rPr>
                        <w:t xml:space="preserve">  </w:t>
                      </w:r>
                      <w:r>
                        <w:rPr>
                          <w:sz w:val="22"/>
                          <w:szCs w:val="22"/>
                        </w:rPr>
                        <w:t>Ciottina broj 20.</w:t>
                      </w:r>
                    </w:p>
                    <w:p w:rsidR="00EC1B48" w:rsidRDefault="00DB03AD">
                      <w:pPr>
                        <w:rPr>
                          <w:rFonts w:hint="eastAsia"/>
                        </w:rPr>
                      </w:pPr>
                      <w:r>
                        <w:rPr>
                          <w:sz w:val="22"/>
                          <w:szCs w:val="22"/>
                        </w:rPr>
                        <w:t xml:space="preserve">  Telefon: 331-777, 098/9382 870</w:t>
                      </w:r>
                    </w:p>
                    <w:p w:rsidR="00EC1B48" w:rsidRDefault="00DB03AD">
                      <w:pPr>
                        <w:rPr>
                          <w:rFonts w:hint="eastAsia"/>
                        </w:rPr>
                      </w:pPr>
                      <w:r>
                        <w:rPr>
                          <w:sz w:val="22"/>
                          <w:szCs w:val="22"/>
                        </w:rPr>
                        <w:t xml:space="preserve">  Email: rmiklaus@gmail.com</w:t>
                      </w:r>
                    </w:p>
                  </w:txbxContent>
                </v:textbox>
              </v:shape>
            </w:pict>
          </mc:Fallback>
        </mc:AlternateContent>
      </w: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DB03AD">
      <w:pPr>
        <w:pStyle w:val="Standard"/>
        <w:rPr>
          <w:rFonts w:hint="eastAsia"/>
          <w:sz w:val="22"/>
          <w:szCs w:val="22"/>
        </w:rPr>
      </w:pPr>
      <w:r>
        <w:rPr>
          <w:sz w:val="22"/>
          <w:szCs w:val="22"/>
        </w:rPr>
        <w:t xml:space="preserve">                                                                                                                        </w:t>
      </w:r>
      <w:r>
        <w:t xml:space="preserve">TRGOVAČKI  SUD                    </w:t>
      </w:r>
    </w:p>
    <w:p w:rsidR="00EC1B48" w:rsidRDefault="00DB03AD">
      <w:pPr>
        <w:pStyle w:val="Standard"/>
        <w:rPr>
          <w:rFonts w:hint="eastAsia"/>
        </w:rPr>
      </w:pPr>
      <w:r>
        <w:t xml:space="preserve">                </w:t>
      </w:r>
      <w:r>
        <w:t xml:space="preserve">                                                                                              U  RIJECI</w:t>
      </w:r>
    </w:p>
    <w:p w:rsidR="00EC1B48" w:rsidRDefault="00DB03AD">
      <w:pPr>
        <w:pStyle w:val="Standard"/>
        <w:rPr>
          <w:rFonts w:hint="eastAsia"/>
          <w:sz w:val="22"/>
          <w:szCs w:val="22"/>
        </w:rPr>
      </w:pPr>
      <w:r>
        <w:t xml:space="preserve">                                                                                                              </w:t>
      </w:r>
      <w:r>
        <w:rPr>
          <w:b/>
          <w:bCs/>
        </w:rPr>
        <w:t>St-1245/16</w:t>
      </w:r>
    </w:p>
    <w:p w:rsidR="00EC1B48" w:rsidRDefault="00EC1B48">
      <w:pPr>
        <w:pStyle w:val="Standard"/>
        <w:rPr>
          <w:rFonts w:hint="eastAsia"/>
          <w:b/>
          <w:bCs/>
        </w:rPr>
      </w:pPr>
    </w:p>
    <w:p w:rsidR="00EC1B48" w:rsidRDefault="00EC1B48">
      <w:pPr>
        <w:pStyle w:val="Standard"/>
        <w:rPr>
          <w:rFonts w:hint="eastAsia"/>
          <w:b/>
          <w:bCs/>
        </w:rPr>
      </w:pPr>
    </w:p>
    <w:p w:rsidR="00EC1B48" w:rsidRDefault="00EC1B48">
      <w:pPr>
        <w:pStyle w:val="Standard"/>
        <w:rPr>
          <w:rFonts w:hint="eastAsia"/>
          <w:b/>
          <w:bCs/>
        </w:rPr>
      </w:pPr>
    </w:p>
    <w:p w:rsidR="00EC1B48" w:rsidRDefault="00EC1B48">
      <w:pPr>
        <w:pStyle w:val="Standard"/>
        <w:rPr>
          <w:rFonts w:hint="eastAsia"/>
          <w:b/>
          <w:bCs/>
        </w:rPr>
      </w:pPr>
    </w:p>
    <w:p w:rsidR="00EC1B48" w:rsidRDefault="00EC1B48">
      <w:pPr>
        <w:pStyle w:val="Standard"/>
        <w:rPr>
          <w:rFonts w:hint="eastAsia"/>
          <w:b/>
          <w:bCs/>
        </w:rPr>
      </w:pPr>
    </w:p>
    <w:p w:rsidR="00EC1B48" w:rsidRDefault="00DB03AD">
      <w:pPr>
        <w:pStyle w:val="Standard"/>
        <w:rPr>
          <w:rFonts w:hint="eastAsia"/>
          <w:sz w:val="18"/>
          <w:szCs w:val="18"/>
        </w:rPr>
      </w:pPr>
      <w:r>
        <w:rPr>
          <w:sz w:val="18"/>
          <w:szCs w:val="18"/>
        </w:rPr>
        <w:t xml:space="preserve">             Rijeka, </w:t>
      </w:r>
      <w:r>
        <w:rPr>
          <w:sz w:val="18"/>
          <w:szCs w:val="18"/>
        </w:rPr>
        <w:t>20.12.2016.</w:t>
      </w:r>
    </w:p>
    <w:p w:rsidR="00EC1B48" w:rsidRDefault="00EC1B48">
      <w:pPr>
        <w:pStyle w:val="Standard"/>
        <w:rPr>
          <w:rFonts w:hint="eastAsia"/>
        </w:rPr>
      </w:pPr>
    </w:p>
    <w:p w:rsidR="00EC1B48" w:rsidRDefault="00EC1B48">
      <w:pPr>
        <w:pStyle w:val="Standard"/>
        <w:rPr>
          <w:rFonts w:hint="eastAsia"/>
        </w:rPr>
      </w:pPr>
    </w:p>
    <w:p w:rsidR="00EC1B48" w:rsidRDefault="00EC1B48">
      <w:pPr>
        <w:pStyle w:val="Standard"/>
        <w:rPr>
          <w:rFonts w:hint="eastAsia"/>
        </w:rPr>
      </w:pPr>
    </w:p>
    <w:p w:rsidR="00EC1B48" w:rsidRDefault="00DB03AD">
      <w:pPr>
        <w:pStyle w:val="Standard"/>
        <w:rPr>
          <w:rFonts w:hint="eastAsia"/>
          <w:sz w:val="22"/>
          <w:szCs w:val="22"/>
        </w:rPr>
      </w:pPr>
      <w:r>
        <w:rPr>
          <w:sz w:val="22"/>
          <w:szCs w:val="22"/>
        </w:rPr>
        <w:t>PREDMET: IZVJEŠĆE O GOSPODARSKOM POLOŽAJU DUŽNIKA I NJEGOVIM UZROCIMA</w:t>
      </w:r>
    </w:p>
    <w:p w:rsidR="00EC1B48" w:rsidRDefault="00EC1B48">
      <w:pPr>
        <w:pStyle w:val="Standard"/>
        <w:rPr>
          <w:rFonts w:hint="eastAsia"/>
          <w:b/>
          <w:bCs/>
          <w:sz w:val="22"/>
          <w:szCs w:val="22"/>
        </w:rPr>
      </w:pPr>
    </w:p>
    <w:p w:rsidR="00EC1B48" w:rsidRDefault="00EC1B48">
      <w:pPr>
        <w:pStyle w:val="Standard"/>
        <w:rPr>
          <w:rFonts w:hint="eastAsia"/>
          <w:b/>
          <w:bCs/>
          <w:sz w:val="22"/>
          <w:szCs w:val="22"/>
        </w:rPr>
      </w:pPr>
    </w:p>
    <w:p w:rsidR="00EC1B48" w:rsidRDefault="00DB03AD">
      <w:pPr>
        <w:pStyle w:val="Standard"/>
        <w:rPr>
          <w:rFonts w:hint="eastAsia"/>
          <w:sz w:val="22"/>
          <w:szCs w:val="22"/>
        </w:rPr>
      </w:pPr>
      <w:r>
        <w:rPr>
          <w:b/>
          <w:bCs/>
          <w:sz w:val="22"/>
          <w:szCs w:val="22"/>
        </w:rPr>
        <w:t xml:space="preserve">                                                                </w:t>
      </w:r>
      <w:r>
        <w:rPr>
          <w:sz w:val="22"/>
          <w:szCs w:val="22"/>
        </w:rPr>
        <w:t xml:space="preserve">    </w:t>
      </w:r>
      <w:r>
        <w:t>S a d r ž a j</w:t>
      </w:r>
    </w:p>
    <w:p w:rsidR="00EC1B48" w:rsidRDefault="00DB03AD">
      <w:pPr>
        <w:pStyle w:val="Standard"/>
        <w:rPr>
          <w:rFonts w:hint="eastAsia"/>
          <w:sz w:val="22"/>
          <w:szCs w:val="22"/>
        </w:rPr>
      </w:pPr>
      <w:r>
        <w:rPr>
          <w:sz w:val="22"/>
          <w:szCs w:val="22"/>
        </w:rPr>
        <w:t xml:space="preserve">                                                                </w:t>
      </w:r>
      <w:r>
        <w:rPr>
          <w:sz w:val="22"/>
          <w:szCs w:val="22"/>
        </w:rPr>
        <w:t xml:space="preserve">                                                                                             str</w:t>
      </w:r>
    </w:p>
    <w:p w:rsidR="00EC1B48" w:rsidRDefault="00DB03AD">
      <w:pPr>
        <w:pStyle w:val="Standard"/>
        <w:rPr>
          <w:rFonts w:hint="eastAsia"/>
          <w:sz w:val="22"/>
          <w:szCs w:val="22"/>
        </w:rPr>
      </w:pPr>
      <w:r>
        <w:rPr>
          <w:sz w:val="22"/>
          <w:szCs w:val="22"/>
        </w:rPr>
        <w:t>1. Poduzete radnje od dana otvaranja stečajnog postupka...................................................................1.</w:t>
      </w:r>
    </w:p>
    <w:p w:rsidR="00EC1B48" w:rsidRDefault="00DB03AD">
      <w:pPr>
        <w:pStyle w:val="Standard"/>
        <w:rPr>
          <w:rFonts w:hint="eastAsia"/>
          <w:sz w:val="22"/>
          <w:szCs w:val="22"/>
        </w:rPr>
      </w:pPr>
      <w:r>
        <w:rPr>
          <w:sz w:val="22"/>
          <w:szCs w:val="22"/>
        </w:rPr>
        <w:t>2. Sadašnje stanje stečajnog dužni</w:t>
      </w:r>
      <w:r>
        <w:rPr>
          <w:sz w:val="22"/>
          <w:szCs w:val="22"/>
        </w:rPr>
        <w:t>ka....................................................................................................2.</w:t>
      </w:r>
    </w:p>
    <w:p w:rsidR="00EC1B48" w:rsidRDefault="00DB03AD">
      <w:pPr>
        <w:pStyle w:val="Standard"/>
        <w:rPr>
          <w:rFonts w:hint="eastAsia"/>
          <w:sz w:val="22"/>
          <w:szCs w:val="22"/>
        </w:rPr>
      </w:pPr>
      <w:r>
        <w:rPr>
          <w:sz w:val="22"/>
          <w:szCs w:val="22"/>
        </w:rPr>
        <w:t>3. Popis postupaka pred sudovima........................................................................................................3.</w:t>
      </w:r>
    </w:p>
    <w:p w:rsidR="00EC1B48" w:rsidRDefault="00DB03AD">
      <w:pPr>
        <w:pStyle w:val="Standard"/>
        <w:rPr>
          <w:rFonts w:hint="eastAsia"/>
          <w:sz w:val="22"/>
          <w:szCs w:val="22"/>
        </w:rPr>
      </w:pPr>
      <w:r>
        <w:rPr>
          <w:sz w:val="22"/>
          <w:szCs w:val="22"/>
        </w:rPr>
        <w:t>4. Zaposleni</w:t>
      </w:r>
      <w:r>
        <w:rPr>
          <w:sz w:val="22"/>
          <w:szCs w:val="22"/>
        </w:rPr>
        <w:t>ci kod stečajnog dužnika...................................................................................................4.</w:t>
      </w:r>
    </w:p>
    <w:p w:rsidR="00EC1B48" w:rsidRDefault="00DB03AD">
      <w:pPr>
        <w:pStyle w:val="Standard"/>
        <w:rPr>
          <w:rFonts w:hint="eastAsia"/>
          <w:sz w:val="22"/>
          <w:szCs w:val="22"/>
        </w:rPr>
      </w:pPr>
      <w:r>
        <w:rPr>
          <w:sz w:val="22"/>
          <w:szCs w:val="22"/>
        </w:rPr>
        <w:t>5. Uzroci gospodarskog stanja i mogući nastavak poslovanja..............................................................4.</w:t>
      </w:r>
    </w:p>
    <w:p w:rsidR="00EC1B48" w:rsidRDefault="00DB03AD">
      <w:pPr>
        <w:pStyle w:val="Standard"/>
        <w:rPr>
          <w:rFonts w:hint="eastAsia"/>
          <w:sz w:val="22"/>
          <w:szCs w:val="22"/>
        </w:rPr>
      </w:pPr>
      <w:r>
        <w:rPr>
          <w:sz w:val="22"/>
          <w:szCs w:val="22"/>
        </w:rPr>
        <w:t>6. Imov</w:t>
      </w:r>
      <w:r>
        <w:rPr>
          <w:sz w:val="22"/>
          <w:szCs w:val="22"/>
        </w:rPr>
        <w:t>ina i obveze...............................................................................................................................4.</w:t>
      </w:r>
    </w:p>
    <w:p w:rsidR="00EC1B48" w:rsidRDefault="00DB03AD">
      <w:pPr>
        <w:pStyle w:val="Standard"/>
        <w:rPr>
          <w:rFonts w:hint="eastAsia"/>
          <w:sz w:val="22"/>
          <w:szCs w:val="22"/>
        </w:rPr>
      </w:pPr>
      <w:r>
        <w:rPr>
          <w:sz w:val="22"/>
          <w:szCs w:val="22"/>
        </w:rPr>
        <w:t>7. Tražbine vjerovnika............................................................................................</w:t>
      </w:r>
      <w:r>
        <w:rPr>
          <w:sz w:val="22"/>
          <w:szCs w:val="22"/>
        </w:rPr>
        <w:t>...............................5.</w:t>
      </w:r>
    </w:p>
    <w:p w:rsidR="00EC1B48" w:rsidRDefault="00DB03AD">
      <w:pPr>
        <w:pStyle w:val="Standard"/>
        <w:rPr>
          <w:rFonts w:hint="eastAsia"/>
          <w:sz w:val="22"/>
          <w:szCs w:val="22"/>
        </w:rPr>
      </w:pPr>
      <w:r>
        <w:rPr>
          <w:sz w:val="22"/>
          <w:szCs w:val="22"/>
        </w:rPr>
        <w:t>8. Razlučni vjerovnici............................................................................................................................6.</w:t>
      </w:r>
    </w:p>
    <w:p w:rsidR="00EC1B48" w:rsidRDefault="00DB03AD">
      <w:pPr>
        <w:pStyle w:val="Standard"/>
        <w:rPr>
          <w:rFonts w:hint="eastAsia"/>
          <w:sz w:val="22"/>
          <w:szCs w:val="22"/>
        </w:rPr>
      </w:pPr>
      <w:r>
        <w:rPr>
          <w:sz w:val="22"/>
          <w:szCs w:val="22"/>
        </w:rPr>
        <w:t>9. Izlučna prava.........................................................</w:t>
      </w:r>
      <w:r>
        <w:rPr>
          <w:sz w:val="22"/>
          <w:szCs w:val="22"/>
        </w:rPr>
        <w:t>.............................................................................7.</w:t>
      </w:r>
    </w:p>
    <w:p w:rsidR="00EC1B48" w:rsidRDefault="00DB03AD">
      <w:pPr>
        <w:pStyle w:val="Standard"/>
        <w:rPr>
          <w:rFonts w:hint="eastAsia"/>
          <w:sz w:val="22"/>
          <w:szCs w:val="22"/>
        </w:rPr>
      </w:pPr>
      <w:r>
        <w:rPr>
          <w:sz w:val="22"/>
          <w:szCs w:val="22"/>
        </w:rPr>
        <w:t>10. Predračun troškova...........................................................................................................................7.</w:t>
      </w:r>
    </w:p>
    <w:p w:rsidR="00EC1B48" w:rsidRDefault="00DB03AD">
      <w:pPr>
        <w:pStyle w:val="Standard"/>
        <w:rPr>
          <w:rFonts w:hint="eastAsia"/>
          <w:sz w:val="22"/>
          <w:szCs w:val="22"/>
        </w:rPr>
      </w:pPr>
      <w:r>
        <w:rPr>
          <w:sz w:val="22"/>
          <w:szCs w:val="22"/>
        </w:rPr>
        <w:t>11. Zaključak...............</w:t>
      </w:r>
      <w:r>
        <w:rPr>
          <w:sz w:val="22"/>
          <w:szCs w:val="22"/>
        </w:rPr>
        <w:t>...........................................................................................................................7.</w:t>
      </w:r>
    </w:p>
    <w:p w:rsidR="00EC1B48" w:rsidRDefault="00DB03AD">
      <w:pPr>
        <w:pStyle w:val="Standard"/>
        <w:rPr>
          <w:rFonts w:hint="eastAsia"/>
          <w:sz w:val="22"/>
          <w:szCs w:val="22"/>
        </w:rPr>
      </w:pPr>
      <w:r>
        <w:rPr>
          <w:sz w:val="22"/>
          <w:szCs w:val="22"/>
        </w:rPr>
        <w:t>12. Prijedlog odluka..............................................................................................................</w:t>
      </w:r>
      <w:r>
        <w:rPr>
          <w:sz w:val="22"/>
          <w:szCs w:val="22"/>
        </w:rPr>
        <w:t>.................7.</w:t>
      </w: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DB03AD">
      <w:pPr>
        <w:pStyle w:val="Standard"/>
        <w:rPr>
          <w:rFonts w:hint="eastAsia"/>
          <w:sz w:val="22"/>
          <w:szCs w:val="22"/>
        </w:rPr>
      </w:pPr>
      <w:r>
        <w:rPr>
          <w:sz w:val="22"/>
          <w:szCs w:val="22"/>
        </w:rPr>
        <w:t>Prilozi: A/ Tablica prijavljenih tražbina</w:t>
      </w:r>
    </w:p>
    <w:p w:rsidR="00EC1B48" w:rsidRDefault="00DB03AD">
      <w:pPr>
        <w:pStyle w:val="Standard"/>
        <w:rPr>
          <w:rFonts w:hint="eastAsia"/>
          <w:sz w:val="22"/>
          <w:szCs w:val="22"/>
        </w:rPr>
      </w:pPr>
      <w:r>
        <w:rPr>
          <w:sz w:val="22"/>
          <w:szCs w:val="22"/>
        </w:rPr>
        <w:t xml:space="preserve">             B/ Tablica razlučnih prava</w:t>
      </w:r>
    </w:p>
    <w:p w:rsidR="00EC1B48" w:rsidRDefault="00DB03AD">
      <w:pPr>
        <w:pStyle w:val="Standard"/>
        <w:rPr>
          <w:rFonts w:hint="eastAsia"/>
          <w:sz w:val="22"/>
          <w:szCs w:val="22"/>
        </w:rPr>
      </w:pPr>
      <w:r>
        <w:rPr>
          <w:sz w:val="22"/>
          <w:szCs w:val="22"/>
        </w:rPr>
        <w:t xml:space="preserve">             c/ Prijavljene tražbine</w:t>
      </w: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EC1B48">
      <w:pPr>
        <w:pStyle w:val="Standard"/>
        <w:rPr>
          <w:rFonts w:hint="eastAsia"/>
          <w:sz w:val="22"/>
          <w:szCs w:val="22"/>
        </w:rPr>
      </w:pPr>
    </w:p>
    <w:p w:rsidR="00EC1B48" w:rsidRDefault="00DB03AD">
      <w:pPr>
        <w:pStyle w:val="Standard"/>
        <w:rPr>
          <w:rFonts w:hint="eastAsia"/>
          <w:sz w:val="22"/>
          <w:szCs w:val="22"/>
        </w:rPr>
      </w:pPr>
      <w:r>
        <w:rPr>
          <w:sz w:val="22"/>
          <w:szCs w:val="22"/>
        </w:rPr>
        <w:t>1. PODUZETE RADNJE OD DANA OTVARANJA STEČAJNOG POSTUPKA</w:t>
      </w:r>
    </w:p>
    <w:p w:rsidR="00EC1B48" w:rsidRDefault="00EC1B48">
      <w:pPr>
        <w:pStyle w:val="Standard"/>
        <w:rPr>
          <w:rFonts w:hint="eastAsia"/>
          <w:sz w:val="22"/>
          <w:szCs w:val="22"/>
        </w:rPr>
      </w:pPr>
    </w:p>
    <w:p w:rsidR="00EC1B48" w:rsidRDefault="00DB03AD">
      <w:pPr>
        <w:pStyle w:val="Standard"/>
        <w:rPr>
          <w:rFonts w:hint="eastAsia"/>
        </w:rPr>
      </w:pPr>
      <w:r>
        <w:lastRenderedPageBreak/>
        <w:t>U razdoblju od  17.11.2016.</w:t>
      </w:r>
      <w:r>
        <w:t xml:space="preserve"> odnosno od 19,10.2016., kada je otvoren stečajni postupak nad društvom Altatore d.o.o. Mali Lošinj, poduzete su slijedeće radnje:</w:t>
      </w:r>
    </w:p>
    <w:p w:rsidR="00EC1B48" w:rsidRDefault="00EC1B48">
      <w:pPr>
        <w:pStyle w:val="Standard"/>
        <w:rPr>
          <w:rFonts w:hint="eastAsia"/>
        </w:rPr>
      </w:pPr>
    </w:p>
    <w:p w:rsidR="00EC1B48" w:rsidRDefault="00DB03AD">
      <w:pPr>
        <w:pStyle w:val="Standard"/>
        <w:rPr>
          <w:rFonts w:hint="eastAsia"/>
        </w:rPr>
      </w:pPr>
      <w:r>
        <w:t>Izrađen je novi pečat društva</w:t>
      </w:r>
    </w:p>
    <w:p w:rsidR="00EC1B48" w:rsidRDefault="00DB03AD">
      <w:pPr>
        <w:pStyle w:val="Standard"/>
        <w:rPr>
          <w:rFonts w:hint="eastAsia"/>
        </w:rPr>
      </w:pPr>
      <w:r>
        <w:t>Zatvoren je račun kod PBZ d.d.</w:t>
      </w:r>
    </w:p>
    <w:p w:rsidR="00EC1B48" w:rsidRDefault="00DB03AD">
      <w:pPr>
        <w:pStyle w:val="Standard"/>
        <w:rPr>
          <w:rFonts w:hint="eastAsia"/>
        </w:rPr>
      </w:pPr>
      <w:r>
        <w:t>Otvoren je novi poslovni račun</w:t>
      </w:r>
    </w:p>
    <w:p w:rsidR="00EC1B48" w:rsidRDefault="00DB03AD">
      <w:pPr>
        <w:pStyle w:val="Standard"/>
        <w:rPr>
          <w:rFonts w:hint="eastAsia"/>
        </w:rPr>
      </w:pPr>
      <w:r>
        <w:t>Izvršne su odgovarajuće promjene</w:t>
      </w:r>
      <w:r>
        <w:t xml:space="preserve"> kod Državnog zavoda za statistiku</w:t>
      </w:r>
    </w:p>
    <w:p w:rsidR="00EC1B48" w:rsidRDefault="00DB03AD">
      <w:pPr>
        <w:pStyle w:val="Standard"/>
        <w:rPr>
          <w:rFonts w:hint="eastAsia"/>
        </w:rPr>
      </w:pPr>
      <w:r>
        <w:t>Izvršeni su poslovi oko obrade  prijavljenih tražbina</w:t>
      </w:r>
    </w:p>
    <w:p w:rsidR="00EC1B48" w:rsidRDefault="00DB03AD">
      <w:pPr>
        <w:pStyle w:val="Standard"/>
        <w:rPr>
          <w:rFonts w:hint="eastAsia"/>
        </w:rPr>
      </w:pPr>
      <w:r>
        <w:t>Sastavljena je tablica prijavljenih tražbina i tablica razlučnih prava</w:t>
      </w:r>
    </w:p>
    <w:p w:rsidR="00EC1B48" w:rsidRDefault="00DB03AD">
      <w:pPr>
        <w:pStyle w:val="Standard"/>
        <w:rPr>
          <w:rFonts w:hint="eastAsia"/>
        </w:rPr>
      </w:pPr>
      <w:r>
        <w:t>S danom otvaranja stečajnog postupka otvorena je početna bilanca, kao i poslovne knjige. Sukladn</w:t>
      </w:r>
      <w:r>
        <w:t>o zakonskim propisima izrađivati će se propisana financijska izvješća</w:t>
      </w:r>
    </w:p>
    <w:p w:rsidR="00EC1B48" w:rsidRDefault="00DB03AD">
      <w:pPr>
        <w:pStyle w:val="Standard"/>
        <w:rPr>
          <w:rFonts w:hint="eastAsia"/>
        </w:rPr>
      </w:pPr>
      <w:r>
        <w:t>Stečajni upravitelj ima zaključenu policu osiguranja od profesionalne odgovornosti u skladu s odredbama SZ (čl. 71/15)</w:t>
      </w:r>
    </w:p>
    <w:p w:rsidR="00EC1B48" w:rsidRDefault="00EC1B48">
      <w:pPr>
        <w:pStyle w:val="Standard"/>
        <w:rPr>
          <w:rFonts w:hint="eastAsia"/>
        </w:rPr>
      </w:pPr>
    </w:p>
    <w:p w:rsidR="00EC1B48" w:rsidRDefault="00DB03AD">
      <w:pPr>
        <w:pStyle w:val="Standard"/>
        <w:rPr>
          <w:rFonts w:hint="eastAsia"/>
        </w:rPr>
      </w:pPr>
      <w:r>
        <w:t>2. SADAŠNJE STANJE STEČAJNOG DUŽNIKA</w:t>
      </w:r>
    </w:p>
    <w:p w:rsidR="00EC1B48" w:rsidRDefault="00EC1B48">
      <w:pPr>
        <w:pStyle w:val="Standard"/>
        <w:rPr>
          <w:rFonts w:hint="eastAsia"/>
        </w:rPr>
      </w:pPr>
    </w:p>
    <w:p w:rsidR="00EC1B48" w:rsidRDefault="00DB03AD">
      <w:pPr>
        <w:pStyle w:val="Standard"/>
        <w:jc w:val="both"/>
        <w:rPr>
          <w:rFonts w:hint="eastAsia"/>
        </w:rPr>
      </w:pPr>
      <w:r>
        <w:t>Stečajni dužnik društvo Alta</w:t>
      </w:r>
      <w:r>
        <w:t>tore je u neprekidnoj blokadi transakcijskog računa od 04.06.2012. godine do 22.12.2014.g. odnosno neprekidno 931 dana. PBZ d.d. Zagreb je 22.12.2014. zatvorila račun društva zbog neprekidne blokade i nikakvog prometa preko računa. Račun je ponovno otvoren</w:t>
      </w:r>
      <w:r>
        <w:t xml:space="preserve"> 11.06.2016. a od 13.06. na dalje račun je ponovno blokiran. Na dan 19.07.2016. stanje blokade iznosi 191.443,00 kuna.</w:t>
      </w:r>
    </w:p>
    <w:p w:rsidR="00EC1B48" w:rsidRDefault="00DB03AD">
      <w:pPr>
        <w:pStyle w:val="Standard"/>
        <w:jc w:val="both"/>
        <w:rPr>
          <w:rFonts w:hint="eastAsia"/>
        </w:rPr>
      </w:pPr>
      <w:r>
        <w:t>Zadnja poslovna godina u kojoj su ostvareni prihodi bila je 2010.godina.</w:t>
      </w:r>
    </w:p>
    <w:p w:rsidR="00EC1B48" w:rsidRDefault="00DB03AD">
      <w:pPr>
        <w:pStyle w:val="Standard"/>
        <w:jc w:val="both"/>
        <w:rPr>
          <w:rFonts w:hint="eastAsia"/>
        </w:rPr>
      </w:pPr>
      <w:r>
        <w:t>Društvo nema zaposlenih osoba, ne obavlja nikakvu poslovnu djel</w:t>
      </w:r>
      <w:r>
        <w:t>atnost. Od imovine ima samo  :</w:t>
      </w:r>
    </w:p>
    <w:p w:rsidR="00EC1B48" w:rsidRDefault="00EC1B48">
      <w:pPr>
        <w:pStyle w:val="Standard"/>
        <w:jc w:val="both"/>
        <w:rPr>
          <w:rFonts w:hint="eastAsia"/>
        </w:rPr>
      </w:pPr>
    </w:p>
    <w:p w:rsidR="00EC1B48" w:rsidRDefault="00DB03AD">
      <w:pPr>
        <w:pStyle w:val="Standard"/>
        <w:jc w:val="both"/>
        <w:rPr>
          <w:rFonts w:hint="eastAsia"/>
        </w:rPr>
      </w:pPr>
      <w:r>
        <w:t>-  betonaru-proizvođač Officina  Riunite-Udine, tip Rome C24P24B (mješalica) M1125/750</w:t>
      </w:r>
    </w:p>
    <w:p w:rsidR="00EC1B48" w:rsidRDefault="00DB03AD">
      <w:pPr>
        <w:pStyle w:val="Standard"/>
        <w:jc w:val="both"/>
        <w:rPr>
          <w:rFonts w:hint="eastAsia"/>
        </w:rPr>
      </w:pPr>
      <w:r>
        <w:t>-  generatorski agregat model GE 110P S/N A 4450 A/002 (H7554)</w:t>
      </w:r>
    </w:p>
    <w:p w:rsidR="00EC1B48" w:rsidRDefault="00EC1B48">
      <w:pPr>
        <w:pStyle w:val="Standard"/>
        <w:jc w:val="both"/>
        <w:rPr>
          <w:rFonts w:hint="eastAsia"/>
        </w:rPr>
      </w:pPr>
    </w:p>
    <w:p w:rsidR="00EC1B48" w:rsidRDefault="00DB03AD">
      <w:pPr>
        <w:pStyle w:val="Standard"/>
        <w:jc w:val="both"/>
        <w:rPr>
          <w:rFonts w:hint="eastAsia"/>
        </w:rPr>
      </w:pPr>
      <w:r>
        <w:t>Društvo nije kreditno sposobno. Stečajni dužnik nema likvidnih sredstava.</w:t>
      </w:r>
      <w:r>
        <w:t xml:space="preserve"> Zbog svega navedenog ovaj stečaj ima likvidacijski karakter.</w:t>
      </w:r>
    </w:p>
    <w:p w:rsidR="00EC1B48" w:rsidRDefault="00EC1B48">
      <w:pPr>
        <w:pStyle w:val="Standard"/>
        <w:jc w:val="both"/>
        <w:rPr>
          <w:rFonts w:hint="eastAsia"/>
        </w:rPr>
      </w:pPr>
    </w:p>
    <w:p w:rsidR="00EC1B48" w:rsidRDefault="00DB03AD">
      <w:pPr>
        <w:pStyle w:val="Standard"/>
        <w:jc w:val="both"/>
        <w:rPr>
          <w:rFonts w:hint="eastAsia"/>
        </w:rPr>
      </w:pPr>
      <w:r>
        <w:t>Zadnje financijsko izvješće, koje je predano u FIN-u, odnosi se na 2013. godinu. Iz njega je vidljivo da trgovačko društvo nije imalo gospodarske aktivnosti jer 2012. i 2013. nije ostvarilo ni</w:t>
      </w:r>
      <w:r>
        <w:t>kakve prihode.</w:t>
      </w:r>
    </w:p>
    <w:p w:rsidR="00EC1B48" w:rsidRDefault="00DB03AD">
      <w:pPr>
        <w:pStyle w:val="Standard"/>
        <w:jc w:val="both"/>
        <w:rPr>
          <w:rFonts w:hint="eastAsia"/>
        </w:rPr>
      </w:pPr>
      <w:r>
        <w:t>Stečajni upravitelj kontaktirao je ranijeg privremenog stečajnog upravitelja Zdravka Čupković, koji mu je rekao da prilikom stupanja na dužnost  nije našao niti preuzeo nikakvu poslovnu dokumentaciju  društva.</w:t>
      </w:r>
    </w:p>
    <w:p w:rsidR="00EC1B48" w:rsidRDefault="00DB03AD">
      <w:pPr>
        <w:pStyle w:val="Standard"/>
        <w:jc w:val="both"/>
        <w:rPr>
          <w:rFonts w:hint="eastAsia"/>
        </w:rPr>
      </w:pPr>
      <w:r>
        <w:t>Dužnik ne adresi na kojoj je r</w:t>
      </w:r>
      <w:r>
        <w:t>egistriran nema poslovni prostor. Poštanski sandučić ne postoji kao niti naznaka tvrtke društva.</w:t>
      </w:r>
    </w:p>
    <w:p w:rsidR="00EC1B48" w:rsidRDefault="00EC1B48">
      <w:pPr>
        <w:pStyle w:val="Standard"/>
        <w:jc w:val="both"/>
        <w:rPr>
          <w:rFonts w:hint="eastAsia"/>
        </w:rPr>
      </w:pPr>
    </w:p>
    <w:p w:rsidR="00EC1B48" w:rsidRDefault="00DB03AD">
      <w:pPr>
        <w:pStyle w:val="Standard"/>
        <w:rPr>
          <w:rFonts w:hint="eastAsia"/>
        </w:rPr>
      </w:pPr>
      <w:r>
        <w:t>3. POPIS POSTUPAKA PRED SUDOVIMA</w:t>
      </w:r>
    </w:p>
    <w:p w:rsidR="00EC1B48" w:rsidRDefault="00DB03AD">
      <w:pPr>
        <w:pStyle w:val="Standard"/>
        <w:rPr>
          <w:rFonts w:hint="eastAsia"/>
        </w:rPr>
      </w:pPr>
      <w:r>
        <w:t>a. Posl.br. 8 P-</w:t>
      </w:r>
      <w:r>
        <w:rPr>
          <w:b/>
          <w:bCs/>
        </w:rPr>
        <w:t>1042/2013</w:t>
      </w:r>
    </w:p>
    <w:p w:rsidR="00EC1B48" w:rsidRDefault="00DB03AD">
      <w:pPr>
        <w:pStyle w:val="Standard"/>
        <w:rPr>
          <w:rFonts w:hint="eastAsia"/>
        </w:rPr>
      </w:pPr>
      <w:r>
        <w:t>Tužitelj: Mario Della Mora iz Italije</w:t>
      </w:r>
    </w:p>
    <w:p w:rsidR="00EC1B48" w:rsidRDefault="00DB03AD">
      <w:pPr>
        <w:pStyle w:val="Standard"/>
        <w:rPr>
          <w:rFonts w:hint="eastAsia"/>
        </w:rPr>
      </w:pPr>
      <w:r>
        <w:t>Tuženik: ALTATORE d.o.o. Mali Lošinj</w:t>
      </w:r>
    </w:p>
    <w:p w:rsidR="00EC1B48" w:rsidRDefault="00DB03AD">
      <w:pPr>
        <w:pStyle w:val="Standard"/>
        <w:rPr>
          <w:rFonts w:hint="eastAsia"/>
        </w:rPr>
      </w:pPr>
      <w:r>
        <w:t>Umješaći: Martina Šepuka</w:t>
      </w:r>
      <w:r>
        <w:t>, Mali Lošinj</w:t>
      </w:r>
    </w:p>
    <w:p w:rsidR="00EC1B48" w:rsidRDefault="00DB03AD">
      <w:pPr>
        <w:pStyle w:val="Standard"/>
        <w:rPr>
          <w:rFonts w:hint="eastAsia"/>
        </w:rPr>
      </w:pPr>
      <w:r>
        <w:lastRenderedPageBreak/>
        <w:t xml:space="preserve">                 Vedran Jureković,</w:t>
      </w:r>
    </w:p>
    <w:p w:rsidR="00EC1B48" w:rsidRDefault="00DB03AD">
      <w:pPr>
        <w:pStyle w:val="Standard"/>
        <w:rPr>
          <w:rFonts w:hint="eastAsia"/>
        </w:rPr>
      </w:pPr>
      <w:r>
        <w:t xml:space="preserve">                 Alen Šepuka, Mali Lošinj</w:t>
      </w:r>
    </w:p>
    <w:p w:rsidR="00EC1B48" w:rsidRDefault="00DB03AD">
      <w:pPr>
        <w:pStyle w:val="Standard"/>
        <w:rPr>
          <w:rFonts w:hint="eastAsia"/>
        </w:rPr>
      </w:pPr>
      <w:r>
        <w:t xml:space="preserve">                 Petra Jureković Dragoslavić, Mali Lošinj</w:t>
      </w:r>
    </w:p>
    <w:p w:rsidR="00EC1B48" w:rsidRDefault="00DB03AD">
      <w:pPr>
        <w:pStyle w:val="Standard"/>
        <w:rPr>
          <w:rFonts w:hint="eastAsia"/>
        </w:rPr>
      </w:pPr>
      <w:r>
        <w:t xml:space="preserve">                 Nikola Dragoslavić, Mali Lošinj</w:t>
      </w:r>
    </w:p>
    <w:p w:rsidR="00EC1B48" w:rsidRDefault="00DB03AD">
      <w:pPr>
        <w:pStyle w:val="Standard"/>
        <w:rPr>
          <w:rFonts w:hint="eastAsia"/>
        </w:rPr>
      </w:pPr>
      <w:r>
        <w:t>Radi: isplate neisplaćene dobiti u iznosu od : 299.860,00</w:t>
      </w:r>
      <w:r>
        <w:t xml:space="preserve"> kn</w:t>
      </w:r>
    </w:p>
    <w:p w:rsidR="00EC1B48" w:rsidRDefault="00DB03AD">
      <w:pPr>
        <w:pStyle w:val="Standard"/>
        <w:rPr>
          <w:rFonts w:hint="eastAsia"/>
        </w:rPr>
      </w:pPr>
      <w:r>
        <w:t>Sud: Trgovački sud u Rijeci</w:t>
      </w:r>
    </w:p>
    <w:p w:rsidR="00EC1B48" w:rsidRDefault="00EC1B48">
      <w:pPr>
        <w:pStyle w:val="Standard"/>
        <w:rPr>
          <w:rFonts w:hint="eastAsia"/>
        </w:rPr>
      </w:pPr>
    </w:p>
    <w:p w:rsidR="00EC1B48" w:rsidRDefault="00DB03AD">
      <w:pPr>
        <w:pStyle w:val="Standard"/>
        <w:rPr>
          <w:rFonts w:hint="eastAsia"/>
        </w:rPr>
      </w:pPr>
      <w:r>
        <w:t>Rješenjem Trgovačkog suda u Rijeci posl.br. P-1042/13 od 17.11.2016. utvrđen je prekid postupka.</w:t>
      </w:r>
    </w:p>
    <w:p w:rsidR="00EC1B48" w:rsidRDefault="00EC1B48">
      <w:pPr>
        <w:pStyle w:val="Standard"/>
        <w:rPr>
          <w:rFonts w:hint="eastAsia"/>
        </w:rPr>
      </w:pPr>
    </w:p>
    <w:p w:rsidR="00EC1B48" w:rsidRDefault="00DB03AD">
      <w:pPr>
        <w:pStyle w:val="Standard"/>
        <w:rPr>
          <w:rFonts w:hint="eastAsia"/>
        </w:rPr>
      </w:pPr>
      <w:r>
        <w:t xml:space="preserve">b. Posl.br. </w:t>
      </w:r>
      <w:r>
        <w:rPr>
          <w:b/>
          <w:bCs/>
        </w:rPr>
        <w:t>P-2138/14</w:t>
      </w:r>
    </w:p>
    <w:p w:rsidR="00EC1B48" w:rsidRDefault="00DB03AD">
      <w:pPr>
        <w:pStyle w:val="Standard"/>
        <w:rPr>
          <w:rFonts w:hint="eastAsia"/>
        </w:rPr>
      </w:pPr>
      <w:r>
        <w:t>Tužitelj: Mario Della Mora iz Italije</w:t>
      </w:r>
    </w:p>
    <w:p w:rsidR="00EC1B48" w:rsidRDefault="00DB03AD">
      <w:pPr>
        <w:pStyle w:val="Standard"/>
        <w:rPr>
          <w:rFonts w:hint="eastAsia"/>
        </w:rPr>
      </w:pPr>
      <w:r>
        <w:t>Tuženi::    Martina Šepuka, Mali Lošinj</w:t>
      </w:r>
    </w:p>
    <w:p w:rsidR="00EC1B48" w:rsidRDefault="00DB03AD">
      <w:pPr>
        <w:pStyle w:val="Standard"/>
        <w:rPr>
          <w:rFonts w:hint="eastAsia"/>
        </w:rPr>
      </w:pPr>
      <w:r>
        <w:t xml:space="preserve">                 Vedran J</w:t>
      </w:r>
      <w:r>
        <w:t>ureković, Mali Lošinj</w:t>
      </w:r>
    </w:p>
    <w:p w:rsidR="00EC1B48" w:rsidRDefault="00DB03AD">
      <w:pPr>
        <w:pStyle w:val="Standard"/>
        <w:rPr>
          <w:rFonts w:hint="eastAsia"/>
        </w:rPr>
      </w:pPr>
      <w:r>
        <w:t xml:space="preserve">                 Alen Šepuka, Mali Lošinj</w:t>
      </w:r>
    </w:p>
    <w:p w:rsidR="00EC1B48" w:rsidRDefault="00DB03AD">
      <w:pPr>
        <w:pStyle w:val="Standard"/>
        <w:rPr>
          <w:rFonts w:hint="eastAsia"/>
        </w:rPr>
      </w:pPr>
      <w:r>
        <w:t xml:space="preserve">                 Petra Jureković Dragoslavić, Mali Lošinj</w:t>
      </w:r>
    </w:p>
    <w:p w:rsidR="00EC1B48" w:rsidRDefault="00DB03AD">
      <w:pPr>
        <w:pStyle w:val="Standard"/>
        <w:rPr>
          <w:rFonts w:hint="eastAsia"/>
        </w:rPr>
      </w:pPr>
      <w:r>
        <w:t xml:space="preserve">                 Nikola Dragoslavić, Mali Lošinj</w:t>
      </w:r>
    </w:p>
    <w:p w:rsidR="00EC1B48" w:rsidRDefault="00DB03AD">
      <w:pPr>
        <w:pStyle w:val="Standard"/>
        <w:rPr>
          <w:rFonts w:hint="eastAsia"/>
        </w:rPr>
      </w:pPr>
      <w:r>
        <w:t>Sud: Trgovački sud u Rijeci</w:t>
      </w:r>
    </w:p>
    <w:p w:rsidR="00EC1B48" w:rsidRDefault="00DB03AD">
      <w:pPr>
        <w:pStyle w:val="Standard"/>
        <w:rPr>
          <w:rFonts w:hint="eastAsia"/>
        </w:rPr>
      </w:pPr>
      <w:r>
        <w:t>Radi: iskljućenja  članova iz društva</w:t>
      </w:r>
    </w:p>
    <w:p w:rsidR="00EC1B48" w:rsidRDefault="00EC1B48">
      <w:pPr>
        <w:pStyle w:val="Standard"/>
        <w:rPr>
          <w:rFonts w:hint="eastAsia"/>
        </w:rPr>
      </w:pPr>
    </w:p>
    <w:p w:rsidR="00EC1B48" w:rsidRDefault="00DB03AD">
      <w:pPr>
        <w:pStyle w:val="Standard"/>
        <w:rPr>
          <w:rFonts w:hint="eastAsia"/>
        </w:rPr>
      </w:pPr>
      <w:r>
        <w:t>c) Ovršni predmet:</w:t>
      </w:r>
      <w:r>
        <w:t xml:space="preserve">  </w:t>
      </w:r>
      <w:r>
        <w:rPr>
          <w:b/>
          <w:bCs/>
        </w:rPr>
        <w:t>Ovr-2715/15, (Ovr-34/13)</w:t>
      </w:r>
    </w:p>
    <w:p w:rsidR="00EC1B48" w:rsidRDefault="00DB03AD">
      <w:pPr>
        <w:pStyle w:val="Standard"/>
        <w:rPr>
          <w:rFonts w:hint="eastAsia"/>
        </w:rPr>
      </w:pPr>
      <w:r>
        <w:t>Predmet ovrhe-betonara</w:t>
      </w:r>
    </w:p>
    <w:p w:rsidR="00EC1B48" w:rsidRDefault="00DB03AD">
      <w:pPr>
        <w:pStyle w:val="Standard"/>
        <w:rPr>
          <w:rFonts w:hint="eastAsia"/>
        </w:rPr>
      </w:pPr>
      <w:r>
        <w:t xml:space="preserve">Ovrhovoditelji: Jureković Vedran, Šepuka Martina kao suvlasnici zajedničkog obrta Brdo Kušć   </w:t>
      </w:r>
    </w:p>
    <w:p w:rsidR="00EC1B48" w:rsidRDefault="00DB03AD">
      <w:pPr>
        <w:pStyle w:val="Standard"/>
        <w:rPr>
          <w:rFonts w:hint="eastAsia"/>
        </w:rPr>
      </w:pPr>
      <w:r>
        <w:t xml:space="preserve">                          Čunski -Mali Lošinj</w:t>
      </w:r>
    </w:p>
    <w:p w:rsidR="00EC1B48" w:rsidRDefault="00DB03AD">
      <w:pPr>
        <w:pStyle w:val="Standard"/>
        <w:rPr>
          <w:rFonts w:hint="eastAsia"/>
        </w:rPr>
      </w:pPr>
      <w:r>
        <w:t>Ovršenik: Altatore d.o.o. Mali Lošinj</w:t>
      </w:r>
    </w:p>
    <w:p w:rsidR="00EC1B48" w:rsidRDefault="00DB03AD">
      <w:pPr>
        <w:pStyle w:val="Standard"/>
        <w:rPr>
          <w:rFonts w:hint="eastAsia"/>
        </w:rPr>
      </w:pPr>
      <w:r>
        <w:t>Sud: Mali Lošinj</w:t>
      </w:r>
    </w:p>
    <w:p w:rsidR="00EC1B48" w:rsidRDefault="00EC1B48">
      <w:pPr>
        <w:pStyle w:val="Standard"/>
        <w:rPr>
          <w:rFonts w:hint="eastAsia"/>
        </w:rPr>
      </w:pPr>
    </w:p>
    <w:p w:rsidR="00EC1B48" w:rsidRDefault="00DB03AD">
      <w:pPr>
        <w:pStyle w:val="Standard"/>
        <w:rPr>
          <w:rFonts w:hint="eastAsia"/>
        </w:rPr>
      </w:pPr>
      <w:r>
        <w:t>d) Ovršni</w:t>
      </w:r>
      <w:r>
        <w:t xml:space="preserve"> predmet:</w:t>
      </w:r>
      <w:r>
        <w:rPr>
          <w:b/>
          <w:bCs/>
        </w:rPr>
        <w:t xml:space="preserve"> Ovr-4034/15 (Gž Ovr-422/2016)</w:t>
      </w:r>
    </w:p>
    <w:p w:rsidR="00EC1B48" w:rsidRDefault="00DB03AD">
      <w:pPr>
        <w:pStyle w:val="Standard"/>
        <w:rPr>
          <w:rFonts w:hint="eastAsia"/>
        </w:rPr>
      </w:pPr>
      <w:r>
        <w:t>Predmet ovrhe-betonara</w:t>
      </w:r>
    </w:p>
    <w:p w:rsidR="00EC1B48" w:rsidRDefault="00DB03AD">
      <w:pPr>
        <w:pStyle w:val="Standard"/>
        <w:rPr>
          <w:rFonts w:hint="eastAsia"/>
        </w:rPr>
      </w:pPr>
      <w:r>
        <w:t xml:space="preserve">Ovrhovoditelji: Jureković Vedran, Šepuka Martina kao suvlasnici zajedničkog obrta Brdo Kušć   </w:t>
      </w:r>
    </w:p>
    <w:p w:rsidR="00EC1B48" w:rsidRDefault="00DB03AD">
      <w:pPr>
        <w:pStyle w:val="Standard"/>
        <w:rPr>
          <w:rFonts w:hint="eastAsia"/>
        </w:rPr>
      </w:pPr>
      <w:r>
        <w:t xml:space="preserve">                          Čunski -Mali Lošinj</w:t>
      </w:r>
    </w:p>
    <w:p w:rsidR="00EC1B48" w:rsidRDefault="00DB03AD">
      <w:pPr>
        <w:pStyle w:val="Standard"/>
        <w:rPr>
          <w:rFonts w:hint="eastAsia"/>
        </w:rPr>
      </w:pPr>
      <w:r>
        <w:t>Ovršenik: Altatore d.o.o. Mali Lošinj</w:t>
      </w:r>
    </w:p>
    <w:p w:rsidR="00EC1B48" w:rsidRDefault="00DB03AD">
      <w:pPr>
        <w:pStyle w:val="Standard"/>
        <w:rPr>
          <w:rFonts w:hint="eastAsia"/>
        </w:rPr>
      </w:pPr>
      <w:r>
        <w:t>Sud: Mali Loši</w:t>
      </w:r>
      <w:r>
        <w:t>nj</w:t>
      </w:r>
    </w:p>
    <w:p w:rsidR="00EC1B48" w:rsidRDefault="00EC1B48">
      <w:pPr>
        <w:pStyle w:val="Standard"/>
        <w:rPr>
          <w:rFonts w:hint="eastAsia"/>
        </w:rPr>
      </w:pPr>
    </w:p>
    <w:p w:rsidR="00EC1B48" w:rsidRDefault="00DB03AD">
      <w:pPr>
        <w:pStyle w:val="Standard"/>
        <w:rPr>
          <w:rFonts w:hint="eastAsia"/>
        </w:rPr>
      </w:pPr>
      <w:r>
        <w:t xml:space="preserve">e) Ovršni predmet, </w:t>
      </w:r>
      <w:r>
        <w:rPr>
          <w:b/>
          <w:bCs/>
        </w:rPr>
        <w:t>Ovr-2904/15</w:t>
      </w:r>
    </w:p>
    <w:p w:rsidR="00EC1B48" w:rsidRDefault="00DB03AD">
      <w:pPr>
        <w:pStyle w:val="Standard"/>
        <w:rPr>
          <w:rFonts w:hint="eastAsia"/>
        </w:rPr>
      </w:pPr>
      <w:r>
        <w:t xml:space="preserve">Ovrhovoditelji: Jureković Vedran, Šepuka Martina kao suvlasnici zajedničkog obrta Brdo Kušć   </w:t>
      </w:r>
    </w:p>
    <w:p w:rsidR="00EC1B48" w:rsidRDefault="00DB03AD">
      <w:pPr>
        <w:pStyle w:val="Standard"/>
        <w:rPr>
          <w:rFonts w:hint="eastAsia"/>
        </w:rPr>
      </w:pPr>
      <w:r>
        <w:t xml:space="preserve">                          Čunski -Mali Lošinj</w:t>
      </w:r>
    </w:p>
    <w:p w:rsidR="00EC1B48" w:rsidRDefault="00DB03AD">
      <w:pPr>
        <w:pStyle w:val="Standard"/>
        <w:rPr>
          <w:rFonts w:hint="eastAsia"/>
        </w:rPr>
      </w:pPr>
      <w:r>
        <w:t>Ovršenik: Altatore d.o.o. Mali Lošinj</w:t>
      </w:r>
    </w:p>
    <w:p w:rsidR="00EC1B48" w:rsidRDefault="00DB03AD">
      <w:pPr>
        <w:pStyle w:val="Standard"/>
        <w:rPr>
          <w:rFonts w:hint="eastAsia"/>
        </w:rPr>
      </w:pPr>
      <w:r>
        <w:t xml:space="preserve">Sud: Mali Lošinj     </w:t>
      </w:r>
    </w:p>
    <w:p w:rsidR="00EC1B48" w:rsidRDefault="00DB03AD">
      <w:pPr>
        <w:pStyle w:val="Standard"/>
        <w:rPr>
          <w:rFonts w:hint="eastAsia"/>
        </w:rPr>
      </w:pPr>
      <w:r>
        <w:t>f.) Ovršni postupak:</w:t>
      </w:r>
      <w:r>
        <w:t xml:space="preserve"> </w:t>
      </w:r>
      <w:r>
        <w:rPr>
          <w:b/>
          <w:bCs/>
        </w:rPr>
        <w:t>Ovr-1675/2012</w:t>
      </w:r>
    </w:p>
    <w:p w:rsidR="00EC1B48" w:rsidRDefault="00DB03AD">
      <w:pPr>
        <w:pStyle w:val="Standard"/>
        <w:rPr>
          <w:rFonts w:hint="eastAsia"/>
        </w:rPr>
      </w:pPr>
      <w:r>
        <w:t>Ovrhovoditelji: Vedran Jureković i dr. vl.zajedničkog obrta Brdo Kušć, Čunski-Mali Lošinj</w:t>
      </w:r>
    </w:p>
    <w:p w:rsidR="00EC1B48" w:rsidRDefault="00DB03AD">
      <w:pPr>
        <w:pStyle w:val="Standard"/>
        <w:rPr>
          <w:rFonts w:hint="eastAsia"/>
        </w:rPr>
      </w:pPr>
      <w:r>
        <w:t>Ovršenik: Altatore d.o.o. Mali Lošinj</w:t>
      </w:r>
    </w:p>
    <w:p w:rsidR="00EC1B48" w:rsidRDefault="00DB03AD">
      <w:pPr>
        <w:pStyle w:val="Standard"/>
        <w:rPr>
          <w:rFonts w:hint="eastAsia"/>
        </w:rPr>
      </w:pPr>
      <w:r>
        <w:t>Sud: Općinski  sud u Malom Lošinju</w:t>
      </w:r>
    </w:p>
    <w:p w:rsidR="00EC1B48" w:rsidRDefault="00DB03AD">
      <w:pPr>
        <w:pStyle w:val="Standard"/>
        <w:rPr>
          <w:rFonts w:hint="eastAsia"/>
        </w:rPr>
      </w:pPr>
      <w:r>
        <w:t>radi: 21.600,00 kn</w:t>
      </w:r>
    </w:p>
    <w:p w:rsidR="00EC1B48" w:rsidRDefault="00EC1B48">
      <w:pPr>
        <w:pStyle w:val="Standard"/>
        <w:rPr>
          <w:rFonts w:hint="eastAsia"/>
        </w:rPr>
      </w:pPr>
    </w:p>
    <w:p w:rsidR="00EC1B48" w:rsidRDefault="00DB03AD">
      <w:pPr>
        <w:pStyle w:val="Standard"/>
        <w:jc w:val="both"/>
        <w:rPr>
          <w:rFonts w:hint="eastAsia"/>
        </w:rPr>
      </w:pPr>
      <w:r>
        <w:lastRenderedPageBreak/>
        <w:t xml:space="preserve">Dana 12.03.2013. doneseno je rješenje o ovrsi Ovr-1675/12 </w:t>
      </w:r>
      <w:r>
        <w:t>koje je postalo pravomoćno 23.10.2013.godine. Predmet je prosljeđen Općinskom sudu u Lošinju.</w:t>
      </w:r>
    </w:p>
    <w:p w:rsidR="00EC1B48" w:rsidRDefault="00EC1B48">
      <w:pPr>
        <w:pStyle w:val="Standard"/>
        <w:jc w:val="both"/>
        <w:rPr>
          <w:rFonts w:hint="eastAsia"/>
        </w:rPr>
      </w:pPr>
    </w:p>
    <w:p w:rsidR="00EC1B48" w:rsidRDefault="00DB03AD">
      <w:pPr>
        <w:pStyle w:val="Standard"/>
        <w:rPr>
          <w:rFonts w:hint="eastAsia"/>
        </w:rPr>
      </w:pPr>
      <w:r>
        <w:t>U svim ovršnim postupcima obaviješten je sud o činjenici otvaranja stečajnog postupka.</w:t>
      </w:r>
    </w:p>
    <w:p w:rsidR="00EC1B48" w:rsidRDefault="00EC1B48">
      <w:pPr>
        <w:pStyle w:val="Standard"/>
        <w:rPr>
          <w:rFonts w:hint="eastAsia"/>
        </w:rPr>
      </w:pPr>
    </w:p>
    <w:p w:rsidR="00EC1B48" w:rsidRDefault="00DB03AD">
      <w:pPr>
        <w:pStyle w:val="Standard"/>
        <w:rPr>
          <w:rFonts w:hint="eastAsia"/>
        </w:rPr>
      </w:pPr>
      <w:r>
        <w:t>g) Parnični postupak P-391/10 (P-261/18) P-3363/15, koji je sada na Župa</w:t>
      </w:r>
      <w:r>
        <w:t>nijskom sudu u Rijeci. Radi se o postupku, radi utvrđivanja prava vlasništva, koji se vodi između članova društva.</w:t>
      </w:r>
    </w:p>
    <w:p w:rsidR="00EC1B48" w:rsidRDefault="00EC1B48">
      <w:pPr>
        <w:pStyle w:val="Standard"/>
        <w:rPr>
          <w:rFonts w:hint="eastAsia"/>
        </w:rPr>
      </w:pPr>
    </w:p>
    <w:p w:rsidR="00EC1B48" w:rsidRDefault="00DB03AD">
      <w:pPr>
        <w:pStyle w:val="Standard"/>
        <w:rPr>
          <w:rFonts w:hint="eastAsia"/>
        </w:rPr>
      </w:pPr>
      <w:r>
        <w:t>4. ZAPOSLENICI STEČAJNOG DUŽNIKA</w:t>
      </w:r>
    </w:p>
    <w:p w:rsidR="00EC1B48" w:rsidRDefault="00EC1B48">
      <w:pPr>
        <w:pStyle w:val="Standard"/>
        <w:rPr>
          <w:rFonts w:hint="eastAsia"/>
        </w:rPr>
      </w:pPr>
    </w:p>
    <w:p w:rsidR="00EC1B48" w:rsidRDefault="00DB03AD">
      <w:pPr>
        <w:pStyle w:val="Standard"/>
        <w:jc w:val="both"/>
        <w:rPr>
          <w:rFonts w:hint="eastAsia"/>
        </w:rPr>
      </w:pPr>
      <w:r>
        <w:t>Dužnik ne posluje, odnosno ne obavlja nikakvu poslovnu djelatnost  više od tri godine. Žiro račun mu je bl</w:t>
      </w:r>
      <w:r>
        <w:t>okiran. Na dan otvaranja stečajnog postupka   dužnik nije imao niti jednu zaposlenu osobu. Od prijašnjeg privremenog stečajnog upravitelja Zdravka Čupković, stečajni upravitelj nije  preuzeo nikakvu poslovnu dokumentaciju društva. Tražbine zaposlenih radni</w:t>
      </w:r>
      <w:r>
        <w:t>ka stečajni upravitelj nije primio. Iz potvrde  Hrvatskog zavoda za mirovinsko osiguranje, Područna služba u Rijeci od 12.11.2015.  klasa: 035-07715-01/23, vidljivo je da na dan 12.11.2015. u društvu Altatore d.o.o. nema zaposlenih radnika.</w:t>
      </w:r>
    </w:p>
    <w:p w:rsidR="00EC1B48" w:rsidRDefault="00EC1B48">
      <w:pPr>
        <w:pStyle w:val="Standard"/>
        <w:jc w:val="both"/>
        <w:rPr>
          <w:rFonts w:hint="eastAsia"/>
        </w:rPr>
      </w:pPr>
    </w:p>
    <w:p w:rsidR="00EC1B48" w:rsidRDefault="00DB03AD">
      <w:pPr>
        <w:pStyle w:val="Standard"/>
        <w:rPr>
          <w:rFonts w:hint="eastAsia"/>
        </w:rPr>
      </w:pPr>
      <w:r>
        <w:t>5. UZROCI GOSP</w:t>
      </w:r>
      <w:r>
        <w:t>ODARSKOG POLOŽAJA DUŽNIKA I MOGUĆI NASTAVAK POSLOVANJA</w:t>
      </w:r>
    </w:p>
    <w:p w:rsidR="00EC1B48" w:rsidRDefault="00EC1B48">
      <w:pPr>
        <w:pStyle w:val="Standard"/>
        <w:rPr>
          <w:rFonts w:hint="eastAsia"/>
        </w:rPr>
      </w:pPr>
    </w:p>
    <w:p w:rsidR="00EC1B48" w:rsidRDefault="00DB03AD">
      <w:pPr>
        <w:pStyle w:val="Standard"/>
        <w:jc w:val="both"/>
        <w:rPr>
          <w:rFonts w:hint="eastAsia"/>
        </w:rPr>
      </w:pPr>
      <w:r>
        <w:t>Društvo Altatore d.o.o. osnovano je i upisano u Trgovačkom sud u Rijeci za obavljanje različitih djelatnosti, prvenstveno građevinskih djelatnosti,  vađenja kamena, šljunka, pijeska, gline i slično. D</w:t>
      </w:r>
      <w:r>
        <w:t>ruštvo su osnovali članovi društva:  Mario  Della Mora i  Davor Jureković,  nakon čega je Mario Della Mora u društvo uložio betonaru. Temeljni kapital društva iznosi : 1.054.700,00 kuna. Nedugo  nakon toga preminuo je drugi osnivač društva Davor Jureković.</w:t>
      </w:r>
      <w:r>
        <w:t xml:space="preserve"> Iza njegove smrti njegovi  nasljednici se nisu više mogli dogovoriti o tome kako dalje poslovno voditi društvo Altatore d.o.o.</w:t>
      </w:r>
    </w:p>
    <w:p w:rsidR="00EC1B48" w:rsidRDefault="00EC1B48">
      <w:pPr>
        <w:pStyle w:val="Standard"/>
        <w:jc w:val="both"/>
        <w:rPr>
          <w:rFonts w:hint="eastAsia"/>
        </w:rPr>
      </w:pPr>
    </w:p>
    <w:p w:rsidR="00EC1B48" w:rsidRDefault="00DB03AD">
      <w:pPr>
        <w:pStyle w:val="Standard"/>
        <w:jc w:val="both"/>
        <w:rPr>
          <w:rFonts w:hint="eastAsia"/>
        </w:rPr>
      </w:pPr>
      <w:r>
        <w:t>6. IMOVINA I OBVEZE STEČAJNOG DUŽNIKA</w:t>
      </w:r>
    </w:p>
    <w:p w:rsidR="00EC1B48" w:rsidRDefault="00EC1B48">
      <w:pPr>
        <w:pStyle w:val="Standard"/>
        <w:rPr>
          <w:rFonts w:hint="eastAsia"/>
        </w:rPr>
      </w:pPr>
    </w:p>
    <w:p w:rsidR="00EC1B48" w:rsidRDefault="00EC1B48">
      <w:pPr>
        <w:pStyle w:val="Standard"/>
        <w:rPr>
          <w:rFonts w:hint="eastAsia"/>
        </w:rPr>
      </w:pPr>
    </w:p>
    <w:tbl>
      <w:tblPr>
        <w:tblW w:w="6180" w:type="dxa"/>
        <w:tblInd w:w="1671" w:type="dxa"/>
        <w:tblLayout w:type="fixed"/>
        <w:tblCellMar>
          <w:left w:w="10" w:type="dxa"/>
          <w:right w:w="10" w:type="dxa"/>
        </w:tblCellMar>
        <w:tblLook w:val="04A0" w:firstRow="1" w:lastRow="0" w:firstColumn="1" w:lastColumn="0" w:noHBand="0" w:noVBand="1"/>
      </w:tblPr>
      <w:tblGrid>
        <w:gridCol w:w="1545"/>
        <w:gridCol w:w="3210"/>
        <w:gridCol w:w="1425"/>
      </w:tblGrid>
      <w:tr w:rsidR="00EC1B48">
        <w:tblPrEx>
          <w:tblCellMar>
            <w:top w:w="0" w:type="dxa"/>
            <w:bottom w:w="0" w:type="dxa"/>
          </w:tblCellMar>
        </w:tblPrEx>
        <w:tc>
          <w:tcPr>
            <w:tcW w:w="1545" w:type="dxa"/>
            <w:tcBorders>
              <w:top w:val="single" w:sz="2" w:space="0" w:color="000000"/>
              <w:left w:val="single" w:sz="2" w:space="0" w:color="000000"/>
              <w:bottom w:val="single" w:sz="2" w:space="0" w:color="000000"/>
            </w:tcBorders>
            <w:tcMar>
              <w:top w:w="55" w:type="dxa"/>
              <w:left w:w="55" w:type="dxa"/>
              <w:bottom w:w="55" w:type="dxa"/>
              <w:right w:w="55" w:type="dxa"/>
            </w:tcMar>
          </w:tcPr>
          <w:p w:rsidR="00EC1B48" w:rsidRDefault="00EC1B48">
            <w:pPr>
              <w:pStyle w:val="TableContents"/>
              <w:rPr>
                <w:rFonts w:hint="eastAsia"/>
              </w:rPr>
            </w:pPr>
          </w:p>
        </w:tc>
        <w:tc>
          <w:tcPr>
            <w:tcW w:w="3210" w:type="dxa"/>
            <w:tcBorders>
              <w:top w:val="single" w:sz="2" w:space="0" w:color="000000"/>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I. IMOVINA</w:t>
            </w:r>
          </w:p>
        </w:tc>
        <w:tc>
          <w:tcPr>
            <w:tcW w:w="142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iznos</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EC1B48">
            <w:pPr>
              <w:pStyle w:val="TableContents"/>
              <w:rPr>
                <w:rFonts w:hint="eastAsia"/>
              </w:rPr>
            </w:pP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DUGOTRAJNA IMOVINA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1</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rPr>
                <w:rFonts w:hint="eastAsia"/>
                <w:sz w:val="22"/>
                <w:szCs w:val="22"/>
              </w:rPr>
            </w:pPr>
            <w:r>
              <w:rPr>
                <w:sz w:val="22"/>
                <w:szCs w:val="22"/>
              </w:rPr>
              <w:t>Dugotrajna nematerijalna imovina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2</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sz w:val="22"/>
                <w:szCs w:val="22"/>
              </w:rPr>
            </w:pPr>
            <w:r>
              <w:rPr>
                <w:sz w:val="22"/>
                <w:szCs w:val="22"/>
              </w:rPr>
              <w:t>Dugotrajna materijalna imovina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3</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sz w:val="22"/>
                <w:szCs w:val="22"/>
              </w:rPr>
            </w:pPr>
            <w:r>
              <w:rPr>
                <w:sz w:val="22"/>
                <w:szCs w:val="22"/>
              </w:rPr>
              <w:t>Dugotrajna financijska imovina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EC1B48">
            <w:pPr>
              <w:pStyle w:val="TableContents"/>
              <w:jc w:val="center"/>
              <w:rPr>
                <w:rFonts w:hint="eastAsia"/>
              </w:rPr>
            </w:pP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sz w:val="22"/>
                <w:szCs w:val="22"/>
              </w:rPr>
            </w:pPr>
            <w:r>
              <w:rPr>
                <w:sz w:val="22"/>
                <w:szCs w:val="22"/>
              </w:rPr>
              <w:t>KRATKOTRAJNA IMOVINA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899.562</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4</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sz w:val="22"/>
                <w:szCs w:val="22"/>
              </w:rPr>
            </w:pPr>
            <w:r>
              <w:rPr>
                <w:sz w:val="22"/>
                <w:szCs w:val="22"/>
              </w:rPr>
              <w:t>Zalihe</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5</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sz w:val="22"/>
                <w:szCs w:val="22"/>
              </w:rPr>
            </w:pPr>
            <w:r>
              <w:rPr>
                <w:sz w:val="22"/>
                <w:szCs w:val="22"/>
              </w:rPr>
              <w:t>Potraživanja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659.317</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6</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rPr>
                <w:rFonts w:hint="eastAsia"/>
                <w:sz w:val="22"/>
                <w:szCs w:val="22"/>
              </w:rPr>
            </w:pPr>
            <w:r>
              <w:rPr>
                <w:sz w:val="22"/>
                <w:szCs w:val="22"/>
              </w:rPr>
              <w:t>Dani depoziti, zajmovi i slično</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228.765</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7</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rPr>
                <w:rFonts w:hint="eastAsia"/>
                <w:sz w:val="22"/>
                <w:szCs w:val="22"/>
              </w:rPr>
            </w:pPr>
            <w:r>
              <w:rPr>
                <w:sz w:val="22"/>
                <w:szCs w:val="22"/>
              </w:rPr>
              <w:t>Ostala financijska imovina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11.480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lastRenderedPageBreak/>
              <w:t>8</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sz w:val="22"/>
                <w:szCs w:val="22"/>
              </w:rPr>
            </w:pPr>
            <w:r>
              <w:rPr>
                <w:sz w:val="22"/>
                <w:szCs w:val="22"/>
              </w:rPr>
              <w:t>Novac u banci i blagajni</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EC1B48">
            <w:pPr>
              <w:pStyle w:val="TableContents"/>
              <w:rPr>
                <w:rFonts w:hint="eastAsia"/>
              </w:rPr>
            </w:pP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 xml:space="preserve">UKUPNO </w:t>
            </w:r>
            <w:r>
              <w:t>AKTIVA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899.562</w:t>
            </w:r>
          </w:p>
        </w:tc>
      </w:tr>
    </w:tbl>
    <w:p w:rsidR="00EC1B48" w:rsidRDefault="00EC1B48">
      <w:pPr>
        <w:pStyle w:val="Standard"/>
        <w:rPr>
          <w:rFonts w:hint="eastAsia"/>
        </w:rPr>
      </w:pPr>
    </w:p>
    <w:p w:rsidR="00EC1B48" w:rsidRDefault="00DB03AD">
      <w:pPr>
        <w:pStyle w:val="Standard"/>
        <w:rPr>
          <w:rFonts w:hint="eastAsia"/>
        </w:rPr>
      </w:pPr>
      <w:r>
        <w:t xml:space="preserve">                           </w:t>
      </w:r>
    </w:p>
    <w:tbl>
      <w:tblPr>
        <w:tblW w:w="6180" w:type="dxa"/>
        <w:tblInd w:w="1671" w:type="dxa"/>
        <w:tblLayout w:type="fixed"/>
        <w:tblCellMar>
          <w:left w:w="10" w:type="dxa"/>
          <w:right w:w="10" w:type="dxa"/>
        </w:tblCellMar>
        <w:tblLook w:val="04A0" w:firstRow="1" w:lastRow="0" w:firstColumn="1" w:lastColumn="0" w:noHBand="0" w:noVBand="1"/>
      </w:tblPr>
      <w:tblGrid>
        <w:gridCol w:w="1545"/>
        <w:gridCol w:w="3210"/>
        <w:gridCol w:w="1425"/>
      </w:tblGrid>
      <w:tr w:rsidR="00EC1B48">
        <w:tblPrEx>
          <w:tblCellMar>
            <w:top w:w="0" w:type="dxa"/>
            <w:bottom w:w="0" w:type="dxa"/>
          </w:tblCellMar>
        </w:tblPrEx>
        <w:tc>
          <w:tcPr>
            <w:tcW w:w="1545" w:type="dxa"/>
            <w:tcBorders>
              <w:top w:val="single" w:sz="2" w:space="0" w:color="000000"/>
              <w:left w:val="single" w:sz="2" w:space="0" w:color="000000"/>
              <w:bottom w:val="single" w:sz="2" w:space="0" w:color="000000"/>
            </w:tcBorders>
            <w:tcMar>
              <w:top w:w="55" w:type="dxa"/>
              <w:left w:w="55" w:type="dxa"/>
              <w:bottom w:w="55" w:type="dxa"/>
              <w:right w:w="55" w:type="dxa"/>
            </w:tcMar>
          </w:tcPr>
          <w:p w:rsidR="00EC1B48" w:rsidRDefault="00EC1B48">
            <w:pPr>
              <w:pStyle w:val="TableContents"/>
              <w:rPr>
                <w:rFonts w:hint="eastAsia"/>
              </w:rPr>
            </w:pPr>
          </w:p>
        </w:tc>
        <w:tc>
          <w:tcPr>
            <w:tcW w:w="3210" w:type="dxa"/>
            <w:tcBorders>
              <w:top w:val="single" w:sz="2" w:space="0" w:color="000000"/>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II OBVEZE</w:t>
            </w:r>
          </w:p>
        </w:tc>
        <w:tc>
          <w:tcPr>
            <w:tcW w:w="142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C1B48" w:rsidRDefault="00EC1B48">
            <w:pPr>
              <w:pStyle w:val="TableContents"/>
              <w:rPr>
                <w:rFonts w:hint="eastAsia"/>
              </w:rPr>
            </w:pP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1</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T</w:t>
            </w:r>
            <w:r>
              <w:rPr>
                <w:sz w:val="22"/>
                <w:szCs w:val="22"/>
              </w:rPr>
              <w:t>emeljni kapital</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1.054.700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2</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sz w:val="22"/>
                <w:szCs w:val="22"/>
              </w:rPr>
            </w:pPr>
            <w:r>
              <w:rPr>
                <w:sz w:val="22"/>
                <w:szCs w:val="22"/>
              </w:rPr>
              <w:t>Kapitalne rezerve</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3</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rPr>
                <w:rFonts w:hint="eastAsia"/>
                <w:sz w:val="21"/>
                <w:szCs w:val="21"/>
              </w:rPr>
            </w:pPr>
            <w:r>
              <w:rPr>
                <w:sz w:val="21"/>
                <w:szCs w:val="21"/>
              </w:rPr>
              <w:t>Zadržana dobit ili preneseni gubitak</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- 192.403</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4</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 xml:space="preserve"> </w:t>
            </w:r>
            <w:r>
              <w:rPr>
                <w:sz w:val="22"/>
                <w:szCs w:val="22"/>
              </w:rPr>
              <w:t>Gubitak</w:t>
            </w:r>
            <w:r>
              <w:rPr>
                <w:sz w:val="22"/>
                <w:szCs w:val="22"/>
              </w:rPr>
              <w:t xml:space="preserve"> poslovne godine</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0</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5</w:t>
            </w: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 xml:space="preserve"> </w:t>
            </w:r>
            <w:r>
              <w:rPr>
                <w:sz w:val="22"/>
                <w:szCs w:val="22"/>
              </w:rPr>
              <w:t>Kratkoročne obveze</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37.265</w:t>
            </w:r>
          </w:p>
        </w:tc>
      </w:tr>
      <w:tr w:rsidR="00EC1B48">
        <w:tblPrEx>
          <w:tblCellMar>
            <w:top w:w="0" w:type="dxa"/>
            <w:bottom w:w="0" w:type="dxa"/>
          </w:tblCellMar>
        </w:tblPrEx>
        <w:tc>
          <w:tcPr>
            <w:tcW w:w="1545" w:type="dxa"/>
            <w:tcBorders>
              <w:left w:val="single" w:sz="2" w:space="0" w:color="000000"/>
              <w:bottom w:val="single" w:sz="2" w:space="0" w:color="000000"/>
            </w:tcBorders>
            <w:tcMar>
              <w:top w:w="55" w:type="dxa"/>
              <w:left w:w="55" w:type="dxa"/>
              <w:bottom w:w="55" w:type="dxa"/>
              <w:right w:w="55" w:type="dxa"/>
            </w:tcMar>
          </w:tcPr>
          <w:p w:rsidR="00EC1B48" w:rsidRDefault="00EC1B48">
            <w:pPr>
              <w:pStyle w:val="TableContents"/>
              <w:rPr>
                <w:rFonts w:hint="eastAsia"/>
              </w:rPr>
            </w:pPr>
          </w:p>
        </w:tc>
        <w:tc>
          <w:tcPr>
            <w:tcW w:w="3210" w:type="dxa"/>
            <w:tcBorders>
              <w:left w:val="single" w:sz="2" w:space="0" w:color="000000"/>
              <w:bottom w:val="single" w:sz="2" w:space="0" w:color="000000"/>
            </w:tcBorders>
            <w:tcMar>
              <w:top w:w="55" w:type="dxa"/>
              <w:left w:w="55" w:type="dxa"/>
              <w:bottom w:w="55" w:type="dxa"/>
              <w:right w:w="55" w:type="dxa"/>
            </w:tcMar>
          </w:tcPr>
          <w:p w:rsidR="00EC1B48" w:rsidRDefault="00DB03AD">
            <w:pPr>
              <w:pStyle w:val="TableContents"/>
              <w:jc w:val="center"/>
              <w:rPr>
                <w:rFonts w:hint="eastAsia"/>
              </w:rPr>
            </w:pPr>
            <w:r>
              <w:t>UKUPNA PASIVA</w:t>
            </w:r>
          </w:p>
        </w:tc>
        <w:tc>
          <w:tcPr>
            <w:tcW w:w="1425" w:type="dxa"/>
            <w:tcBorders>
              <w:left w:val="single" w:sz="2" w:space="0" w:color="000000"/>
              <w:bottom w:val="single" w:sz="2" w:space="0" w:color="000000"/>
              <w:right w:val="single" w:sz="2" w:space="0" w:color="000000"/>
            </w:tcBorders>
            <w:tcMar>
              <w:top w:w="55" w:type="dxa"/>
              <w:left w:w="55" w:type="dxa"/>
              <w:bottom w:w="55" w:type="dxa"/>
              <w:right w:w="55" w:type="dxa"/>
            </w:tcMar>
          </w:tcPr>
          <w:p w:rsidR="00EC1B48" w:rsidRDefault="00DB03AD">
            <w:pPr>
              <w:pStyle w:val="TableContents"/>
              <w:jc w:val="center"/>
              <w:rPr>
                <w:rFonts w:hint="eastAsia"/>
              </w:rPr>
            </w:pPr>
            <w:r>
              <w:t>899.562</w:t>
            </w:r>
          </w:p>
        </w:tc>
      </w:tr>
    </w:tbl>
    <w:p w:rsidR="00EC1B48" w:rsidRDefault="00EC1B48">
      <w:pPr>
        <w:pStyle w:val="Standard"/>
        <w:rPr>
          <w:rFonts w:hint="eastAsia"/>
        </w:rPr>
      </w:pPr>
    </w:p>
    <w:p w:rsidR="00EC1B48" w:rsidRDefault="00DB03AD">
      <w:pPr>
        <w:pStyle w:val="Standard"/>
        <w:rPr>
          <w:rFonts w:hint="eastAsia"/>
        </w:rPr>
      </w:pPr>
      <w:r>
        <w:t>DUGOTRAJNA IMOVINA</w:t>
      </w:r>
    </w:p>
    <w:p w:rsidR="00EC1B48" w:rsidRDefault="00EC1B48">
      <w:pPr>
        <w:pStyle w:val="Standard"/>
        <w:rPr>
          <w:rFonts w:hint="eastAsia"/>
        </w:rPr>
      </w:pPr>
    </w:p>
    <w:p w:rsidR="00EC1B48" w:rsidRDefault="00DB03AD">
      <w:pPr>
        <w:pStyle w:val="Standard"/>
        <w:jc w:val="both"/>
        <w:rPr>
          <w:rFonts w:hint="eastAsia"/>
        </w:rPr>
      </w:pPr>
      <w:r>
        <w:t xml:space="preserve">Trgovačko društvo Altatore prema bilanci na dan 31.12.2013. u svom knjigovodstvu nema evidentiranu dugotrajnu materijalnu imovinu, ali je iz prokaznog popisa </w:t>
      </w:r>
      <w:r>
        <w:t>imovine, koji je sastavljen na dan 03.12.2015. vidljivo da društvo u vlasništvu ima automatsko postrojenje za mješanje betona,</w:t>
      </w:r>
    </w:p>
    <w:p w:rsidR="00EC1B48" w:rsidRDefault="00EC1B48">
      <w:pPr>
        <w:pStyle w:val="Standard"/>
        <w:jc w:val="both"/>
        <w:rPr>
          <w:rFonts w:hint="eastAsia"/>
        </w:rPr>
      </w:pPr>
    </w:p>
    <w:p w:rsidR="00EC1B48" w:rsidRDefault="00DB03AD">
      <w:pPr>
        <w:pStyle w:val="Standard"/>
        <w:rPr>
          <w:rFonts w:hint="eastAsia"/>
        </w:rPr>
      </w:pPr>
      <w:r>
        <w:t>KRATKOTRAJNA IMOVINA</w:t>
      </w:r>
    </w:p>
    <w:p w:rsidR="00EC1B48" w:rsidRDefault="00EC1B48">
      <w:pPr>
        <w:pStyle w:val="Standard"/>
        <w:rPr>
          <w:rFonts w:hint="eastAsia"/>
        </w:rPr>
      </w:pPr>
    </w:p>
    <w:p w:rsidR="00EC1B48" w:rsidRDefault="00DB03AD">
      <w:pPr>
        <w:pStyle w:val="Standard"/>
        <w:rPr>
          <w:rFonts w:hint="eastAsia"/>
        </w:rPr>
      </w:pPr>
      <w:r>
        <w:t>Kratkotrajna imovina sastoji se od:</w:t>
      </w:r>
    </w:p>
    <w:p w:rsidR="00EC1B48" w:rsidRDefault="00EC1B48">
      <w:pPr>
        <w:pStyle w:val="Standard"/>
        <w:rPr>
          <w:rFonts w:hint="eastAsia"/>
        </w:rPr>
      </w:pPr>
    </w:p>
    <w:p w:rsidR="00EC1B48" w:rsidRDefault="00DB03AD">
      <w:pPr>
        <w:pStyle w:val="Standard"/>
        <w:rPr>
          <w:rFonts w:hint="eastAsia"/>
        </w:rPr>
      </w:pPr>
      <w:r>
        <w:t>Zaliha</w:t>
      </w:r>
    </w:p>
    <w:p w:rsidR="00EC1B48" w:rsidRDefault="00DB03AD">
      <w:pPr>
        <w:pStyle w:val="Standard"/>
        <w:rPr>
          <w:rFonts w:hint="eastAsia"/>
        </w:rPr>
      </w:pPr>
      <w:r>
        <w:t>Potraživanja</w:t>
      </w:r>
    </w:p>
    <w:p w:rsidR="00EC1B48" w:rsidRDefault="00DB03AD">
      <w:pPr>
        <w:pStyle w:val="Standard"/>
        <w:rPr>
          <w:rFonts w:hint="eastAsia"/>
        </w:rPr>
      </w:pPr>
      <w:r>
        <w:t>Novac u banci i blagajni</w:t>
      </w:r>
    </w:p>
    <w:p w:rsidR="00EC1B48" w:rsidRDefault="00EC1B48">
      <w:pPr>
        <w:pStyle w:val="Standard"/>
        <w:rPr>
          <w:rFonts w:hint="eastAsia"/>
        </w:rPr>
      </w:pPr>
    </w:p>
    <w:p w:rsidR="00EC1B48" w:rsidRDefault="00DB03AD">
      <w:pPr>
        <w:pStyle w:val="Standard"/>
        <w:rPr>
          <w:rFonts w:hint="eastAsia"/>
        </w:rPr>
      </w:pPr>
      <w:r>
        <w:t>Zalihe</w:t>
      </w:r>
    </w:p>
    <w:p w:rsidR="00EC1B48" w:rsidRDefault="00EC1B48">
      <w:pPr>
        <w:pStyle w:val="Standard"/>
        <w:rPr>
          <w:rFonts w:hint="eastAsia"/>
        </w:rPr>
      </w:pPr>
    </w:p>
    <w:p w:rsidR="00EC1B48" w:rsidRDefault="00DB03AD">
      <w:pPr>
        <w:pStyle w:val="Standard"/>
        <w:jc w:val="both"/>
        <w:rPr>
          <w:rFonts w:hint="eastAsia"/>
        </w:rPr>
      </w:pPr>
      <w:r>
        <w:t xml:space="preserve">U </w:t>
      </w:r>
      <w:r>
        <w:t>knjigovodstvenim podacima nema evidentiranih zaliha materijala ili zaliha sitnog materijala odnosno zaliha gotovih proizvoda  ili trgovačke robe te zaliha nedovršene proizvodnje.</w:t>
      </w:r>
    </w:p>
    <w:p w:rsidR="00EC1B48" w:rsidRDefault="00EC1B48">
      <w:pPr>
        <w:pStyle w:val="Standard"/>
        <w:jc w:val="both"/>
        <w:rPr>
          <w:rFonts w:hint="eastAsia"/>
        </w:rPr>
      </w:pPr>
    </w:p>
    <w:p w:rsidR="00EC1B48" w:rsidRDefault="00DB03AD">
      <w:pPr>
        <w:pStyle w:val="Standard"/>
        <w:rPr>
          <w:rFonts w:hint="eastAsia"/>
        </w:rPr>
      </w:pPr>
      <w:r>
        <w:t>Potraživanja</w:t>
      </w:r>
    </w:p>
    <w:p w:rsidR="00EC1B48" w:rsidRDefault="00EC1B48">
      <w:pPr>
        <w:pStyle w:val="Standard"/>
        <w:rPr>
          <w:rFonts w:hint="eastAsia"/>
        </w:rPr>
      </w:pPr>
    </w:p>
    <w:p w:rsidR="00EC1B48" w:rsidRDefault="00DB03AD">
      <w:pPr>
        <w:pStyle w:val="Standard"/>
        <w:jc w:val="both"/>
        <w:rPr>
          <w:rFonts w:hint="eastAsia"/>
        </w:rPr>
      </w:pPr>
      <w:r>
        <w:t xml:space="preserve">Na dan 31.12.2013. godine trgovačko društvo Altatore d.o.o. u </w:t>
      </w:r>
      <w:r>
        <w:t>knjigovodstvu ima iskazana potraživanja prema kupcima u visini od 659.317,00 kuna.</w:t>
      </w:r>
    </w:p>
    <w:p w:rsidR="00EC1B48" w:rsidRDefault="00DB03AD">
      <w:pPr>
        <w:pStyle w:val="Standard"/>
        <w:jc w:val="both"/>
        <w:rPr>
          <w:rFonts w:hint="eastAsia"/>
        </w:rPr>
      </w:pPr>
      <w:r>
        <w:t>Na dan 31.12.2013. godine kao ostalu financijsku imovinu ima evidentiran iznos od 11.480,00 kuna.</w:t>
      </w:r>
    </w:p>
    <w:p w:rsidR="00EC1B48" w:rsidRDefault="00EC1B48">
      <w:pPr>
        <w:pStyle w:val="Standard"/>
        <w:jc w:val="both"/>
        <w:rPr>
          <w:rFonts w:hint="eastAsia"/>
        </w:rPr>
      </w:pPr>
    </w:p>
    <w:p w:rsidR="00EC1B48" w:rsidRDefault="00DB03AD">
      <w:pPr>
        <w:pStyle w:val="Standard"/>
        <w:jc w:val="both"/>
        <w:rPr>
          <w:rFonts w:hint="eastAsia"/>
        </w:rPr>
      </w:pPr>
      <w:r>
        <w:t>Sva navedena potraživanja u stvarnosti su prenesena iz prethodne 2012. Ste</w:t>
      </w:r>
      <w:r>
        <w:t>čajni upravitelj nije u posjedu nikakve dokumentacije iz koje bi proizlazilo  da je društvo Altatore d.o.o.  pokrenulo  sudske postupke, radi naplate ovih potraživanja, pa  se može tvrditi da su ta potraživanja u zastari.</w:t>
      </w:r>
    </w:p>
    <w:p w:rsidR="00EC1B48" w:rsidRDefault="00EC1B48">
      <w:pPr>
        <w:pStyle w:val="Standard"/>
        <w:jc w:val="both"/>
        <w:rPr>
          <w:rFonts w:hint="eastAsia"/>
        </w:rPr>
      </w:pPr>
    </w:p>
    <w:p w:rsidR="00EC1B48" w:rsidRDefault="00DB03AD">
      <w:pPr>
        <w:pStyle w:val="Standard"/>
        <w:jc w:val="both"/>
        <w:rPr>
          <w:rFonts w:hint="eastAsia"/>
        </w:rPr>
      </w:pPr>
      <w:r>
        <w:lastRenderedPageBreak/>
        <w:t>Zajmovi</w:t>
      </w:r>
    </w:p>
    <w:p w:rsidR="00EC1B48" w:rsidRDefault="00EC1B48">
      <w:pPr>
        <w:pStyle w:val="Standard"/>
        <w:jc w:val="both"/>
        <w:rPr>
          <w:rFonts w:hint="eastAsia"/>
        </w:rPr>
      </w:pPr>
    </w:p>
    <w:p w:rsidR="00EC1B48" w:rsidRDefault="00DB03AD">
      <w:pPr>
        <w:pStyle w:val="Standard"/>
        <w:jc w:val="both"/>
        <w:rPr>
          <w:rFonts w:hint="eastAsia"/>
        </w:rPr>
      </w:pPr>
      <w:r>
        <w:t>Društvo je članu društv</w:t>
      </w:r>
      <w:r>
        <w:t>a Mario Della Mora dalo 26.11.2010.g. i 31.10.2011. pozajmicu u visini od  337.725,07 kuna. Sudski postupak radi povrata ovih novaca nije pokrenut.</w:t>
      </w:r>
    </w:p>
    <w:p w:rsidR="00EC1B48" w:rsidRDefault="00EC1B48">
      <w:pPr>
        <w:pStyle w:val="Standard"/>
        <w:rPr>
          <w:rFonts w:hint="eastAsia"/>
        </w:rPr>
      </w:pPr>
    </w:p>
    <w:p w:rsidR="00EC1B48" w:rsidRDefault="00DB03AD">
      <w:pPr>
        <w:pStyle w:val="Standard"/>
        <w:rPr>
          <w:rFonts w:hint="eastAsia"/>
        </w:rPr>
      </w:pPr>
      <w:r>
        <w:t>KAPITAL I REZERVE</w:t>
      </w:r>
    </w:p>
    <w:p w:rsidR="00EC1B48" w:rsidRDefault="00EC1B48">
      <w:pPr>
        <w:pStyle w:val="Standard"/>
        <w:rPr>
          <w:rFonts w:hint="eastAsia"/>
        </w:rPr>
      </w:pPr>
    </w:p>
    <w:p w:rsidR="00EC1B48" w:rsidRDefault="00DB03AD">
      <w:pPr>
        <w:pStyle w:val="Standard"/>
        <w:jc w:val="both"/>
        <w:rPr>
          <w:rFonts w:hint="eastAsia"/>
        </w:rPr>
      </w:pPr>
      <w:r>
        <w:t xml:space="preserve">Društvo Altatore d.o.o. osnovano je kao društvo s ograničenom odgovornošću. Društvo ima </w:t>
      </w:r>
      <w:r>
        <w:t xml:space="preserve">  temeljni kapital od 1.047.000,00 kuna pa se pasiva društva sastoji od navedenog iznosa temeljnog kapitala, koji umanjen za prenesene gubitke iz prethodnih godina i obveza u visini od 37.265,00 kuna, pa pasiva iznosi ukupno 899.562,00 kuna.</w:t>
      </w:r>
    </w:p>
    <w:p w:rsidR="00EC1B48" w:rsidRDefault="00EC1B48">
      <w:pPr>
        <w:pStyle w:val="Standard"/>
        <w:rPr>
          <w:rFonts w:hint="eastAsia"/>
        </w:rPr>
      </w:pPr>
    </w:p>
    <w:p w:rsidR="00EC1B48" w:rsidRDefault="00DB03AD">
      <w:pPr>
        <w:pStyle w:val="Standard"/>
        <w:rPr>
          <w:rFonts w:hint="eastAsia"/>
        </w:rPr>
      </w:pPr>
      <w:r>
        <w:t>PRIHODI I RAS</w:t>
      </w:r>
      <w:r>
        <w:t>HODI</w:t>
      </w:r>
    </w:p>
    <w:p w:rsidR="00EC1B48" w:rsidRDefault="00EC1B48">
      <w:pPr>
        <w:pStyle w:val="Standard"/>
        <w:rPr>
          <w:rFonts w:hint="eastAsia"/>
        </w:rPr>
      </w:pPr>
    </w:p>
    <w:p w:rsidR="00EC1B48" w:rsidRDefault="00DB03AD">
      <w:pPr>
        <w:pStyle w:val="Standard"/>
        <w:rPr>
          <w:rFonts w:hint="eastAsia"/>
        </w:rPr>
      </w:pPr>
      <w:r>
        <w:t>Iz financijskih izvješća za 2012. i 2013. godine vidljivo je da je društvo prestalo sa gospodarskom djelatnošću jer u navedenom razdoblju nije ostvarivalo prihode iz poslovne djelatnosti.</w:t>
      </w:r>
    </w:p>
    <w:p w:rsidR="00EC1B48" w:rsidRDefault="00EC1B48">
      <w:pPr>
        <w:pStyle w:val="Standard"/>
        <w:rPr>
          <w:rFonts w:hint="eastAsia"/>
        </w:rPr>
      </w:pPr>
    </w:p>
    <w:p w:rsidR="00EC1B48" w:rsidRDefault="00DB03AD">
      <w:pPr>
        <w:pStyle w:val="Standard"/>
        <w:rPr>
          <w:rFonts w:hint="eastAsia"/>
        </w:rPr>
      </w:pPr>
      <w:r>
        <w:t>7. TRAŽBINE VJEROVNIKA PREMA PRISTIGLIM PRIJAVAMA</w:t>
      </w:r>
    </w:p>
    <w:p w:rsidR="00EC1B48" w:rsidRDefault="00EC1B48">
      <w:pPr>
        <w:pStyle w:val="Standard"/>
        <w:rPr>
          <w:rFonts w:hint="eastAsia"/>
        </w:rPr>
      </w:pPr>
    </w:p>
    <w:p w:rsidR="00EC1B48" w:rsidRDefault="00DB03AD">
      <w:pPr>
        <w:pStyle w:val="Standard"/>
        <w:rPr>
          <w:rFonts w:hint="eastAsia"/>
        </w:rPr>
      </w:pPr>
      <w:r>
        <w:t>- GRAD MAL</w:t>
      </w:r>
      <w:r>
        <w:t>I LOŠINJ.........................................................................................7.226,28 kuna</w:t>
      </w:r>
    </w:p>
    <w:p w:rsidR="00EC1B48" w:rsidRDefault="00DB03AD">
      <w:pPr>
        <w:pStyle w:val="Standard"/>
        <w:rPr>
          <w:rFonts w:hint="eastAsia"/>
        </w:rPr>
      </w:pPr>
      <w:r>
        <w:t>- FINA .......................................................................................................................972,90 kuna</w:t>
      </w:r>
    </w:p>
    <w:p w:rsidR="00EC1B48" w:rsidRDefault="00DB03AD">
      <w:pPr>
        <w:pStyle w:val="Standard"/>
        <w:rPr>
          <w:rFonts w:hint="eastAsia"/>
        </w:rPr>
      </w:pPr>
      <w:r>
        <w:t>- ZAJED</w:t>
      </w:r>
      <w:r>
        <w:t>NIČKI OBRT BRDO KUŠĆ, Čunski-M-Lošinj................................. 169.732,92 kuna</w:t>
      </w:r>
    </w:p>
    <w:p w:rsidR="00EC1B48" w:rsidRDefault="00DB03AD">
      <w:pPr>
        <w:pStyle w:val="Standard"/>
        <w:rPr>
          <w:rFonts w:hint="eastAsia"/>
        </w:rPr>
      </w:pPr>
      <w:r>
        <w:t xml:space="preserve">    suvlasnici Vedran Jureković, Martina Šepuka</w:t>
      </w:r>
    </w:p>
    <w:p w:rsidR="00EC1B48" w:rsidRDefault="00DB03AD">
      <w:pPr>
        <w:pStyle w:val="Standard"/>
        <w:rPr>
          <w:rFonts w:hint="eastAsia"/>
        </w:rPr>
      </w:pPr>
      <w:r>
        <w:t>- MARIO DELLA MORA iz Italije....................................................................299.860,00 kuna</w:t>
      </w:r>
    </w:p>
    <w:p w:rsidR="00EC1B48" w:rsidRDefault="00EC1B48">
      <w:pPr>
        <w:pStyle w:val="Standard"/>
        <w:rPr>
          <w:rFonts w:hint="eastAsia"/>
        </w:rPr>
      </w:pPr>
    </w:p>
    <w:p w:rsidR="00EC1B48" w:rsidRDefault="00DB03AD">
      <w:pPr>
        <w:pStyle w:val="Standard"/>
        <w:rPr>
          <w:rFonts w:hint="eastAsia"/>
        </w:rPr>
      </w:pPr>
      <w:r>
        <w:t xml:space="preserve">8. </w:t>
      </w:r>
      <w:r>
        <w:t>RAZLUČNA PRAVA</w:t>
      </w:r>
    </w:p>
    <w:p w:rsidR="00EC1B48" w:rsidRDefault="00EC1B48">
      <w:pPr>
        <w:pStyle w:val="Standard"/>
        <w:rPr>
          <w:rFonts w:hint="eastAsia"/>
        </w:rPr>
      </w:pPr>
    </w:p>
    <w:p w:rsidR="00EC1B48" w:rsidRDefault="00DB03AD">
      <w:pPr>
        <w:pStyle w:val="Standard"/>
        <w:jc w:val="both"/>
        <w:rPr>
          <w:rFonts w:hint="eastAsia"/>
        </w:rPr>
      </w:pPr>
      <w:r>
        <w:t>Zapisnikom o pljenidbi   Trgovačkog suda u Rijeci, posl.br. 15 Ovr-1675/2012 na automatskom postrojenju za spravljanje betona-betonara (sastoji se od betonare i konstrukcije za odvajanje nasipnog materijala)  Zajednički obrt Brdo Kušć, vl.V</w:t>
      </w:r>
      <w:r>
        <w:t>edran Jureković, Martina Šepuka, stekao je razlučno pravo. Vrijednost: 21.600,00 kn.</w:t>
      </w:r>
    </w:p>
    <w:p w:rsidR="00EC1B48" w:rsidRDefault="00EC1B48">
      <w:pPr>
        <w:pStyle w:val="Standard"/>
        <w:jc w:val="both"/>
        <w:rPr>
          <w:rFonts w:hint="eastAsia"/>
        </w:rPr>
      </w:pPr>
    </w:p>
    <w:p w:rsidR="00EC1B48" w:rsidRDefault="00DB03AD">
      <w:pPr>
        <w:pStyle w:val="Standard"/>
        <w:rPr>
          <w:rFonts w:hint="eastAsia"/>
        </w:rPr>
      </w:pPr>
      <w:r>
        <w:t>9. IZLUČNA PRAVA</w:t>
      </w:r>
    </w:p>
    <w:p w:rsidR="00EC1B48" w:rsidRDefault="00EC1B48">
      <w:pPr>
        <w:pStyle w:val="Standard"/>
        <w:rPr>
          <w:rFonts w:hint="eastAsia"/>
        </w:rPr>
      </w:pPr>
    </w:p>
    <w:p w:rsidR="00EC1B48" w:rsidRDefault="00DB03AD">
      <w:pPr>
        <w:pStyle w:val="Standard"/>
        <w:rPr>
          <w:rFonts w:hint="eastAsia"/>
        </w:rPr>
      </w:pPr>
      <w:r>
        <w:t xml:space="preserve"> Izlučno pravo nije prijavio nitko.</w:t>
      </w:r>
    </w:p>
    <w:p w:rsidR="00EC1B48" w:rsidRDefault="00EC1B48">
      <w:pPr>
        <w:pStyle w:val="Standard"/>
        <w:rPr>
          <w:rFonts w:hint="eastAsia"/>
        </w:rPr>
      </w:pPr>
    </w:p>
    <w:p w:rsidR="00EC1B48" w:rsidRDefault="00DB03AD">
      <w:pPr>
        <w:pStyle w:val="Standard"/>
        <w:rPr>
          <w:rFonts w:hint="eastAsia"/>
        </w:rPr>
      </w:pPr>
      <w:r>
        <w:t>10. PREDRAČUN TROŠKOVA STEČAJNOG POSTUPKA</w:t>
      </w:r>
    </w:p>
    <w:p w:rsidR="00EC1B48" w:rsidRDefault="00EC1B48">
      <w:pPr>
        <w:pStyle w:val="Standard"/>
        <w:rPr>
          <w:rFonts w:hint="eastAsia"/>
        </w:rPr>
      </w:pPr>
    </w:p>
    <w:p w:rsidR="00EC1B48" w:rsidRDefault="00DB03AD">
      <w:pPr>
        <w:pStyle w:val="Standard"/>
        <w:rPr>
          <w:rFonts w:hint="eastAsia"/>
          <w:sz w:val="22"/>
          <w:szCs w:val="22"/>
        </w:rPr>
      </w:pPr>
      <w:r>
        <w:rPr>
          <w:sz w:val="22"/>
          <w:szCs w:val="22"/>
        </w:rPr>
        <w:t xml:space="preserve">                            OPIS </w:t>
      </w:r>
      <w:r>
        <w:rPr>
          <w:sz w:val="22"/>
          <w:szCs w:val="22"/>
        </w:rPr>
        <w:t xml:space="preserve">                                                                                              IZNOS</w:t>
      </w:r>
    </w:p>
    <w:p w:rsidR="00EC1B48" w:rsidRDefault="00DB03AD">
      <w:pPr>
        <w:pStyle w:val="Standard"/>
        <w:rPr>
          <w:rFonts w:hint="eastAsia"/>
          <w:sz w:val="22"/>
          <w:szCs w:val="22"/>
        </w:rPr>
      </w:pPr>
      <w:r>
        <w:rPr>
          <w:sz w:val="22"/>
          <w:szCs w:val="22"/>
        </w:rPr>
        <w:t>TROŠKOVI STEČAJNOG POSTUPKA</w:t>
      </w:r>
    </w:p>
    <w:p w:rsidR="00EC1B48" w:rsidRDefault="00DB03AD">
      <w:pPr>
        <w:pStyle w:val="Standard"/>
        <w:rPr>
          <w:rFonts w:hint="eastAsia"/>
          <w:sz w:val="22"/>
          <w:szCs w:val="22"/>
        </w:rPr>
      </w:pPr>
      <w:r>
        <w:rPr>
          <w:sz w:val="22"/>
          <w:szCs w:val="22"/>
        </w:rPr>
        <w:t>a) Nagrada stečajnom upravitelju                                                                        prema odluci suda</w:t>
      </w:r>
    </w:p>
    <w:p w:rsidR="00EC1B48" w:rsidRDefault="00DB03AD">
      <w:pPr>
        <w:pStyle w:val="Standard"/>
        <w:rPr>
          <w:rFonts w:hint="eastAsia"/>
          <w:sz w:val="22"/>
          <w:szCs w:val="22"/>
        </w:rPr>
      </w:pPr>
      <w:r>
        <w:rPr>
          <w:sz w:val="22"/>
          <w:szCs w:val="22"/>
        </w:rPr>
        <w:t>b) Stv</w:t>
      </w:r>
      <w:r>
        <w:rPr>
          <w:sz w:val="22"/>
          <w:szCs w:val="22"/>
        </w:rPr>
        <w:t xml:space="preserve">arni troškovi stečajnog upravitelja                                                                    7.000,00 kn                                                                </w:t>
      </w:r>
    </w:p>
    <w:p w:rsidR="00EC1B48" w:rsidRDefault="00EC1B48">
      <w:pPr>
        <w:pStyle w:val="Standard"/>
        <w:rPr>
          <w:rFonts w:hint="eastAsia"/>
          <w:sz w:val="22"/>
          <w:szCs w:val="22"/>
        </w:rPr>
      </w:pPr>
    </w:p>
    <w:p w:rsidR="00EC1B48" w:rsidRDefault="00DB03AD">
      <w:pPr>
        <w:pStyle w:val="Standard"/>
        <w:rPr>
          <w:rFonts w:hint="eastAsia"/>
          <w:sz w:val="22"/>
          <w:szCs w:val="22"/>
        </w:rPr>
      </w:pPr>
      <w:r>
        <w:rPr>
          <w:sz w:val="22"/>
          <w:szCs w:val="22"/>
        </w:rPr>
        <w:t>OSTALE OBVEZE STEČAJNE MASE</w:t>
      </w:r>
    </w:p>
    <w:p w:rsidR="00EC1B48" w:rsidRDefault="00DB03AD">
      <w:pPr>
        <w:pStyle w:val="Standard"/>
        <w:rPr>
          <w:rFonts w:hint="eastAsia"/>
          <w:sz w:val="22"/>
          <w:szCs w:val="22"/>
        </w:rPr>
      </w:pPr>
      <w:r>
        <w:rPr>
          <w:sz w:val="22"/>
          <w:szCs w:val="22"/>
        </w:rPr>
        <w:t xml:space="preserve">1. Bankarske usluge                             </w:t>
      </w:r>
      <w:r>
        <w:rPr>
          <w:sz w:val="22"/>
          <w:szCs w:val="22"/>
        </w:rPr>
        <w:t xml:space="preserve">                                                                         900,00  kn</w:t>
      </w:r>
    </w:p>
    <w:p w:rsidR="00EC1B48" w:rsidRDefault="00DB03AD">
      <w:pPr>
        <w:pStyle w:val="Standard"/>
        <w:rPr>
          <w:rFonts w:hint="eastAsia"/>
          <w:sz w:val="22"/>
          <w:szCs w:val="22"/>
        </w:rPr>
      </w:pPr>
      <w:r>
        <w:rPr>
          <w:sz w:val="22"/>
          <w:szCs w:val="22"/>
        </w:rPr>
        <w:lastRenderedPageBreak/>
        <w:t>2. Knjigovodstvene usluge                                                                                       12.000,00 kn</w:t>
      </w:r>
    </w:p>
    <w:p w:rsidR="00EC1B48" w:rsidRDefault="00DB03AD">
      <w:pPr>
        <w:pStyle w:val="Standard"/>
        <w:rPr>
          <w:rFonts w:hint="eastAsia"/>
          <w:sz w:val="22"/>
          <w:szCs w:val="22"/>
        </w:rPr>
      </w:pPr>
      <w:r>
        <w:rPr>
          <w:sz w:val="22"/>
          <w:szCs w:val="22"/>
        </w:rPr>
        <w:t>3. Materijalni troškovi (izrada pečata, poštans</w:t>
      </w:r>
      <w:r>
        <w:rPr>
          <w:sz w:val="22"/>
          <w:szCs w:val="22"/>
        </w:rPr>
        <w:t>ke usluge</w:t>
      </w:r>
    </w:p>
    <w:p w:rsidR="00EC1B48" w:rsidRDefault="00DB03AD">
      <w:pPr>
        <w:pStyle w:val="Standard"/>
        <w:rPr>
          <w:rFonts w:hint="eastAsia"/>
          <w:sz w:val="22"/>
          <w:szCs w:val="22"/>
        </w:rPr>
      </w:pPr>
      <w:r>
        <w:rPr>
          <w:sz w:val="22"/>
          <w:szCs w:val="22"/>
        </w:rPr>
        <w:t>kancelarijski materijal, troškovi fotokopiranja, tinte i sl.)                                         2.900,00 kn</w:t>
      </w:r>
    </w:p>
    <w:p w:rsidR="00EC1B48" w:rsidRDefault="00EC1B48">
      <w:pPr>
        <w:pStyle w:val="Standard"/>
        <w:rPr>
          <w:rFonts w:hint="eastAsia"/>
          <w:sz w:val="22"/>
          <w:szCs w:val="22"/>
        </w:rPr>
      </w:pPr>
    </w:p>
    <w:p w:rsidR="00EC1B48" w:rsidRDefault="00DB03AD">
      <w:pPr>
        <w:pStyle w:val="Standard"/>
        <w:rPr>
          <w:rFonts w:hint="eastAsia"/>
          <w:sz w:val="22"/>
          <w:szCs w:val="22"/>
        </w:rPr>
      </w:pPr>
      <w:r>
        <w:rPr>
          <w:sz w:val="22"/>
          <w:szCs w:val="22"/>
        </w:rPr>
        <w:t xml:space="preserve">UKUPNO:                                                                                                                </w:t>
      </w:r>
      <w:r>
        <w:rPr>
          <w:sz w:val="22"/>
          <w:szCs w:val="22"/>
          <w:u w:val="single"/>
        </w:rPr>
        <w:t>22.800,00 kn</w:t>
      </w:r>
    </w:p>
    <w:p w:rsidR="00EC1B48" w:rsidRDefault="00EC1B48">
      <w:pPr>
        <w:pStyle w:val="Standard"/>
        <w:rPr>
          <w:rFonts w:hint="eastAsia"/>
          <w:sz w:val="22"/>
          <w:szCs w:val="22"/>
        </w:rPr>
      </w:pPr>
    </w:p>
    <w:p w:rsidR="00EC1B48" w:rsidRDefault="00DB03AD">
      <w:pPr>
        <w:pStyle w:val="Standard"/>
        <w:rPr>
          <w:rFonts w:hint="eastAsia"/>
        </w:rPr>
      </w:pPr>
      <w:r>
        <w:t>Predračun troškova stečajnog upravitelja sastavljen je uz pretpostavku da će stečajni postupak trajati oko godinu  dana. U predračunu troškova nije uključena nagrada za rad stečajnog upravitelja.</w:t>
      </w:r>
    </w:p>
    <w:p w:rsidR="00EC1B48" w:rsidRDefault="00EC1B48">
      <w:pPr>
        <w:pStyle w:val="Standard"/>
        <w:rPr>
          <w:rFonts w:hint="eastAsia"/>
        </w:rPr>
      </w:pPr>
    </w:p>
    <w:p w:rsidR="00EC1B48" w:rsidRDefault="00DB03AD">
      <w:pPr>
        <w:pStyle w:val="Standard"/>
        <w:rPr>
          <w:rFonts w:hint="eastAsia"/>
        </w:rPr>
      </w:pPr>
      <w:r>
        <w:t>11. ZAKLJUĆAK</w:t>
      </w:r>
    </w:p>
    <w:p w:rsidR="00EC1B48" w:rsidRDefault="00EC1B48">
      <w:pPr>
        <w:pStyle w:val="Standard"/>
        <w:rPr>
          <w:rFonts w:hint="eastAsia"/>
        </w:rPr>
      </w:pPr>
    </w:p>
    <w:p w:rsidR="00EC1B48" w:rsidRDefault="00DB03AD">
      <w:pPr>
        <w:pStyle w:val="Standard"/>
        <w:jc w:val="both"/>
        <w:rPr>
          <w:rFonts w:hint="eastAsia"/>
        </w:rPr>
      </w:pPr>
      <w:r>
        <w:t xml:space="preserve">Dužik ima imovinu dovoljnu za  pokriće </w:t>
      </w:r>
      <w:r>
        <w:t>troškova stečajnog postupka i ostalih obveza stečajne mase. Dužnik nema likvidne imovine iz koje bi se mogli podmiriti sada dospjeli troškovi kao niti sada predvidivi troškovi. Dužnik nema izgleda za nastavak poslovanja. Ovaj postupak ima likvidacijski kar</w:t>
      </w:r>
      <w:r>
        <w:t>akter.</w:t>
      </w:r>
    </w:p>
    <w:p w:rsidR="00EC1B48" w:rsidRDefault="00EC1B48">
      <w:pPr>
        <w:pStyle w:val="Standard"/>
        <w:jc w:val="both"/>
        <w:rPr>
          <w:rFonts w:hint="eastAsia"/>
        </w:rPr>
      </w:pPr>
    </w:p>
    <w:p w:rsidR="00EC1B48" w:rsidRDefault="00DB03AD">
      <w:pPr>
        <w:pStyle w:val="Standard"/>
        <w:jc w:val="both"/>
        <w:rPr>
          <w:rFonts w:hint="eastAsia"/>
        </w:rPr>
      </w:pPr>
      <w:r>
        <w:t>12. PRIJEDLOZI ODLUKA</w:t>
      </w:r>
    </w:p>
    <w:p w:rsidR="00EC1B48" w:rsidRDefault="00EC1B48">
      <w:pPr>
        <w:pStyle w:val="Standard"/>
        <w:jc w:val="both"/>
        <w:rPr>
          <w:rFonts w:hint="eastAsia"/>
        </w:rPr>
      </w:pPr>
    </w:p>
    <w:p w:rsidR="00EC1B48" w:rsidRDefault="00DB03AD">
      <w:pPr>
        <w:pStyle w:val="Standard"/>
        <w:jc w:val="both"/>
        <w:rPr>
          <w:rFonts w:hint="eastAsia"/>
        </w:rPr>
      </w:pPr>
      <w:r>
        <w:t>a) Prihvaća se izvješće stečajnog upravitelja i do sada poduzete radnje stečajnog upravitelja.</w:t>
      </w:r>
    </w:p>
    <w:p w:rsidR="00EC1B48" w:rsidRDefault="00DB03AD">
      <w:pPr>
        <w:pStyle w:val="Standard"/>
        <w:jc w:val="both"/>
        <w:rPr>
          <w:rFonts w:hint="eastAsia"/>
        </w:rPr>
      </w:pPr>
      <w:r>
        <w:t>b) Ovlašćuje se  stečajni upravitelj pokrenuti  ili preuzeti parnice koje se ukažu potrebnim radi utvrđenja ili prikupljanja imovi</w:t>
      </w:r>
      <w:r>
        <w:t>ne koja ulazi u stečajnu masu.</w:t>
      </w:r>
    </w:p>
    <w:p w:rsidR="00EC1B48" w:rsidRDefault="00EC1B48">
      <w:pPr>
        <w:pStyle w:val="Standard"/>
        <w:jc w:val="both"/>
        <w:rPr>
          <w:rFonts w:hint="eastAsia"/>
        </w:rPr>
      </w:pPr>
    </w:p>
    <w:p w:rsidR="00EC1B48" w:rsidRDefault="00EC1B48">
      <w:pPr>
        <w:pStyle w:val="Standard"/>
        <w:jc w:val="both"/>
        <w:rPr>
          <w:rFonts w:hint="eastAsia"/>
        </w:rPr>
      </w:pPr>
    </w:p>
    <w:p w:rsidR="00EC1B48" w:rsidRDefault="00DB03AD">
      <w:pPr>
        <w:pStyle w:val="Standard"/>
        <w:jc w:val="both"/>
        <w:rPr>
          <w:rFonts w:hint="eastAsia"/>
        </w:rPr>
      </w:pPr>
      <w:r>
        <w:t>Privitak:</w:t>
      </w:r>
    </w:p>
    <w:p w:rsidR="00EC1B48" w:rsidRDefault="00DB03AD">
      <w:pPr>
        <w:pStyle w:val="Standard"/>
        <w:jc w:val="both"/>
        <w:rPr>
          <w:rFonts w:hint="eastAsia"/>
        </w:rPr>
      </w:pPr>
      <w:r>
        <w:t>Pregled prometa po računu kod PGZ d.d. Zagreb</w:t>
      </w:r>
    </w:p>
    <w:p w:rsidR="00EC1B48" w:rsidRDefault="00DB03AD">
      <w:pPr>
        <w:pStyle w:val="Standard"/>
        <w:jc w:val="both"/>
        <w:rPr>
          <w:rFonts w:hint="eastAsia"/>
        </w:rPr>
      </w:pPr>
      <w:r>
        <w:t>Dokumentacija koja se nalazi u stečajnom spisu.</w:t>
      </w:r>
    </w:p>
    <w:p w:rsidR="00EC1B48" w:rsidRDefault="00EC1B48">
      <w:pPr>
        <w:pStyle w:val="Standard"/>
        <w:jc w:val="both"/>
        <w:rPr>
          <w:rFonts w:hint="eastAsia"/>
        </w:rPr>
      </w:pPr>
    </w:p>
    <w:p w:rsidR="00EC1B48" w:rsidRDefault="00EC1B48">
      <w:pPr>
        <w:pStyle w:val="Standard"/>
        <w:jc w:val="both"/>
        <w:rPr>
          <w:rFonts w:hint="eastAsia"/>
        </w:rPr>
      </w:pPr>
    </w:p>
    <w:p w:rsidR="00EC1B48" w:rsidRDefault="00DB03AD">
      <w:pPr>
        <w:pStyle w:val="Standard"/>
        <w:jc w:val="both"/>
        <w:rPr>
          <w:rFonts w:hint="eastAsia"/>
        </w:rPr>
      </w:pPr>
      <w:r>
        <w:t xml:space="preserve">                                                                                                           Altatore d</w:t>
      </w:r>
      <w:r>
        <w:t>.o.o."u stečaju"</w:t>
      </w:r>
    </w:p>
    <w:p w:rsidR="00EC1B48" w:rsidRDefault="00DB03AD">
      <w:pPr>
        <w:pStyle w:val="Standard"/>
        <w:jc w:val="both"/>
        <w:rPr>
          <w:rFonts w:hint="eastAsia"/>
        </w:rPr>
      </w:pPr>
      <w:r>
        <w:t xml:space="preserve">                                                                                                                     Mali Lošinj</w:t>
      </w:r>
    </w:p>
    <w:p w:rsidR="00EC1B48" w:rsidRDefault="00DB03AD">
      <w:pPr>
        <w:pStyle w:val="Standard"/>
        <w:jc w:val="both"/>
        <w:rPr>
          <w:rFonts w:hint="eastAsia"/>
        </w:rPr>
      </w:pPr>
      <w:r>
        <w:t xml:space="preserve">                                                                                                              </w:t>
      </w:r>
      <w:r>
        <w:t xml:space="preserve">    Stečajni upravitelj:</w:t>
      </w:r>
    </w:p>
    <w:sectPr w:rsidR="00EC1B48">
      <w:headerReference w:type="default" r:id="rId8"/>
      <w:footerReference w:type="default" r:id="rId9"/>
      <w:pgSz w:w="11906" w:h="16838"/>
      <w:pgMar w:top="1474" w:right="1134" w:bottom="1134" w:left="1134" w:header="113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B03AD">
      <w:pPr>
        <w:spacing w:line="240" w:lineRule="auto"/>
        <w:rPr>
          <w:rFonts w:hint="eastAsia"/>
        </w:rPr>
      </w:pPr>
      <w:r>
        <w:separator/>
      </w:r>
    </w:p>
  </w:endnote>
  <w:endnote w:type="continuationSeparator" w:id="0">
    <w:p w:rsidR="00000000" w:rsidRDefault="00DB03A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353" w:rsidRDefault="00DB03AD">
    <w:pPr>
      <w:pStyle w:val="Podnoje"/>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B03AD">
      <w:pPr>
        <w:spacing w:line="240" w:lineRule="auto"/>
        <w:rPr>
          <w:rFonts w:hint="eastAsia"/>
        </w:rPr>
      </w:pPr>
      <w:r>
        <w:rPr>
          <w:color w:val="000000"/>
        </w:rPr>
        <w:separator/>
      </w:r>
    </w:p>
  </w:footnote>
  <w:footnote w:type="continuationSeparator" w:id="0">
    <w:p w:rsidR="00000000" w:rsidRDefault="00DB03AD">
      <w:pPr>
        <w:spacing w:line="240" w:lineRule="auto"/>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353" w:rsidRDefault="00DB03AD">
    <w:pPr>
      <w:pStyle w:val="Zaglavlje"/>
      <w:jc w:val="center"/>
      <w:rPr>
        <w:rFonts w:hint="eastAsia"/>
      </w:rPr>
    </w:pPr>
    <w:r>
      <w:fldChar w:fldCharType="begin"/>
    </w:r>
    <w:r>
      <w:instrText xml:space="preserve"> PAGE </w:instrText>
    </w:r>
    <w:r>
      <w:rPr>
        <w:rFonts w:hint="eastAsia"/>
      </w:rPr>
      <w:fldChar w:fldCharType="separate"/>
    </w:r>
    <w:r>
      <w:rPr>
        <w:rFonts w:hint="eastAsia"/>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82DAF"/>
    <w:multiLevelType w:val="multilevel"/>
    <w:tmpl w:val="7A78E4DE"/>
    <w:styleLink w:val="WWNum1"/>
    <w:lvl w:ilvl="0">
      <w:numFmt w:val="bullet"/>
      <w:lvlText w:val=""/>
      <w:lvlJc w:val="left"/>
      <w:rPr>
        <w:rFonts w:cs="Symbol"/>
        <w:sz w:val="22"/>
      </w:rPr>
    </w:lvl>
    <w:lvl w:ilvl="1">
      <w:numFmt w:val="bullet"/>
      <w:lvlText w:val="o"/>
      <w:lvlJc w:val="left"/>
      <w:rPr>
        <w:rFonts w:cs="Courier New"/>
      </w:rPr>
    </w:lvl>
    <w:lvl w:ilvl="2">
      <w:numFmt w:val="bullet"/>
      <w:lvlText w:val=""/>
      <w:lvlJc w:val="left"/>
      <w:rPr>
        <w:rFonts w:cs="Wingdings"/>
      </w:rPr>
    </w:lvl>
    <w:lvl w:ilvl="3">
      <w:numFmt w:val="bullet"/>
      <w:lvlText w:val=""/>
      <w:lvlJc w:val="left"/>
      <w:rPr>
        <w:rFonts w:cs="Symbol"/>
      </w:rPr>
    </w:lvl>
    <w:lvl w:ilvl="4">
      <w:numFmt w:val="bullet"/>
      <w:lvlText w:val="o"/>
      <w:lvlJc w:val="left"/>
      <w:rPr>
        <w:rFonts w:cs="Courier New"/>
      </w:rPr>
    </w:lvl>
    <w:lvl w:ilvl="5">
      <w:numFmt w:val="bullet"/>
      <w:lvlText w:val=""/>
      <w:lvlJc w:val="left"/>
      <w:rPr>
        <w:rFonts w:cs="Wingdings"/>
      </w:rPr>
    </w:lvl>
    <w:lvl w:ilvl="6">
      <w:numFmt w:val="bullet"/>
      <w:lvlText w:val=""/>
      <w:lvlJc w:val="left"/>
      <w:rPr>
        <w:rFonts w:cs="Symbol"/>
      </w:rPr>
    </w:lvl>
    <w:lvl w:ilvl="7">
      <w:numFmt w:val="bullet"/>
      <w:lvlText w:val="o"/>
      <w:lvlJc w:val="left"/>
      <w:rPr>
        <w:rFonts w:cs="Courier New"/>
      </w:rPr>
    </w:lvl>
    <w:lvl w:ilvl="8">
      <w:numFmt w:val="bullet"/>
      <w:lvlText w:val=""/>
      <w:lvlJc w:val="left"/>
      <w:rPr>
        <w:rFonts w:cs="Wingdings"/>
      </w:rPr>
    </w:lvl>
  </w:abstractNum>
  <w:abstractNum w:abstractNumId="1">
    <w:nsid w:val="506738D0"/>
    <w:multiLevelType w:val="multilevel"/>
    <w:tmpl w:val="821E5AE6"/>
    <w:styleLink w:val="NoList"/>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6221482A"/>
    <w:multiLevelType w:val="multilevel"/>
    <w:tmpl w:val="4B961ED8"/>
    <w:styleLink w:val="WW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6E517279"/>
    <w:multiLevelType w:val="multilevel"/>
    <w:tmpl w:val="AFAA8780"/>
    <w:styleLink w:val="WWNum2"/>
    <w:lvl w:ilvl="0">
      <w:numFmt w:val="bullet"/>
      <w:lvlText w:val=""/>
      <w:lvlJc w:val="left"/>
      <w:rPr>
        <w:rFonts w:cs="Symbol"/>
        <w:sz w:val="22"/>
      </w:rPr>
    </w:lvl>
    <w:lvl w:ilvl="1">
      <w:numFmt w:val="bullet"/>
      <w:lvlText w:val="o"/>
      <w:lvlJc w:val="left"/>
      <w:rPr>
        <w:rFonts w:cs="Courier New"/>
      </w:rPr>
    </w:lvl>
    <w:lvl w:ilvl="2">
      <w:numFmt w:val="bullet"/>
      <w:lvlText w:val=""/>
      <w:lvlJc w:val="left"/>
      <w:rPr>
        <w:rFonts w:cs="Wingdings"/>
      </w:rPr>
    </w:lvl>
    <w:lvl w:ilvl="3">
      <w:numFmt w:val="bullet"/>
      <w:lvlText w:val=""/>
      <w:lvlJc w:val="left"/>
      <w:rPr>
        <w:rFonts w:cs="Symbol"/>
      </w:rPr>
    </w:lvl>
    <w:lvl w:ilvl="4">
      <w:numFmt w:val="bullet"/>
      <w:lvlText w:val="o"/>
      <w:lvlJc w:val="left"/>
      <w:rPr>
        <w:rFonts w:cs="Courier New"/>
      </w:rPr>
    </w:lvl>
    <w:lvl w:ilvl="5">
      <w:numFmt w:val="bullet"/>
      <w:lvlText w:val=""/>
      <w:lvlJc w:val="left"/>
      <w:rPr>
        <w:rFonts w:cs="Wingdings"/>
      </w:rPr>
    </w:lvl>
    <w:lvl w:ilvl="6">
      <w:numFmt w:val="bullet"/>
      <w:lvlText w:val=""/>
      <w:lvlJc w:val="left"/>
      <w:rPr>
        <w:rFonts w:cs="Symbol"/>
      </w:rPr>
    </w:lvl>
    <w:lvl w:ilvl="7">
      <w:numFmt w:val="bullet"/>
      <w:lvlText w:val="o"/>
      <w:lvlJc w:val="left"/>
      <w:rPr>
        <w:rFonts w:cs="Courier New"/>
      </w:rPr>
    </w:lvl>
    <w:lvl w:ilvl="8">
      <w:numFmt w:val="bullet"/>
      <w:lvlText w:val=""/>
      <w:lvlJc w:val="left"/>
      <w:rPr>
        <w:rFonts w:cs="Wingdings"/>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EC1B48"/>
    <w:rsid w:val="00DB03AD"/>
    <w:rsid w:val="00EC1B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kern w:val="3"/>
        <w:sz w:val="24"/>
        <w:szCs w:val="24"/>
        <w:lang w:val="hr-HR" w:eastAsia="zh-CN" w:bidi="hi-IN"/>
      </w:rPr>
    </w:rPrDefault>
    <w:pPrDefault>
      <w:pPr>
        <w:suppressAutoHyphens/>
        <w:autoSpaceDN w:val="0"/>
        <w:spacing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88" w:lineRule="auto"/>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ramecontents">
    <w:name w:val="Frame contents"/>
    <w:basedOn w:val="Standard"/>
  </w:style>
  <w:style w:type="paragraph" w:styleId="Podnoje">
    <w:name w:val="footer"/>
    <w:basedOn w:val="Standard"/>
    <w:pPr>
      <w:tabs>
        <w:tab w:val="center" w:pos="4536"/>
        <w:tab w:val="right" w:pos="9072"/>
      </w:tabs>
      <w:spacing w:line="240" w:lineRule="auto"/>
    </w:pPr>
  </w:style>
  <w:style w:type="paragraph" w:styleId="Zaglavlje">
    <w:name w:val="header"/>
    <w:basedOn w:val="Standard"/>
    <w:pPr>
      <w:tabs>
        <w:tab w:val="center" w:pos="4536"/>
        <w:tab w:val="right" w:pos="9072"/>
      </w:tabs>
      <w:spacing w:line="240" w:lineRule="auto"/>
    </w:pPr>
  </w:style>
  <w:style w:type="paragraph" w:styleId="Tekstbalonia">
    <w:name w:val="Balloon Text"/>
    <w:basedOn w:val="Standard"/>
    <w:pPr>
      <w:spacing w:line="240" w:lineRule="auto"/>
    </w:pPr>
    <w:rPr>
      <w:rFonts w:ascii="Tahoma" w:hAnsi="Tahoma" w:cs="Tahoma"/>
      <w:sz w:val="16"/>
      <w:szCs w:val="16"/>
    </w:rPr>
  </w:style>
  <w:style w:type="paragraph" w:styleId="Odlomakpopisa">
    <w:name w:val="List Paragraph"/>
    <w:basedOn w:val="Standard"/>
    <w:pPr>
      <w:spacing w:after="200"/>
      <w:ind w:left="72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character" w:customStyle="1" w:styleId="ListLabel135">
    <w:name w:val="ListLabel 135"/>
    <w:rPr>
      <w:rFonts w:cs="Wingdings"/>
    </w:rPr>
  </w:style>
  <w:style w:type="character" w:customStyle="1" w:styleId="ListLabel134">
    <w:name w:val="ListLabel 134"/>
    <w:rPr>
      <w:rFonts w:cs="Courier New"/>
    </w:rPr>
  </w:style>
  <w:style w:type="character" w:customStyle="1" w:styleId="ListLabel133">
    <w:name w:val="ListLabel 133"/>
    <w:rPr>
      <w:rFonts w:cs="Symbol"/>
    </w:rPr>
  </w:style>
  <w:style w:type="character" w:customStyle="1" w:styleId="ListLabel132">
    <w:name w:val="ListLabel 132"/>
    <w:rPr>
      <w:rFonts w:cs="Wingdings"/>
    </w:rPr>
  </w:style>
  <w:style w:type="character" w:customStyle="1" w:styleId="ListLabel131">
    <w:name w:val="ListLabel 131"/>
    <w:rPr>
      <w:rFonts w:cs="Courier New"/>
    </w:rPr>
  </w:style>
  <w:style w:type="character" w:customStyle="1" w:styleId="ListLabel130">
    <w:name w:val="ListLabel 130"/>
    <w:rPr>
      <w:rFonts w:cs="Symbol"/>
    </w:rPr>
  </w:style>
  <w:style w:type="character" w:customStyle="1" w:styleId="ListLabel129">
    <w:name w:val="ListLabel 129"/>
    <w:rPr>
      <w:rFonts w:cs="Wingdings"/>
    </w:rPr>
  </w:style>
  <w:style w:type="character" w:customStyle="1" w:styleId="ListLabel128">
    <w:name w:val="ListLabel 128"/>
    <w:rPr>
      <w:rFonts w:cs="Courier New"/>
    </w:rPr>
  </w:style>
  <w:style w:type="character" w:customStyle="1" w:styleId="ListLabel127">
    <w:name w:val="ListLabel 127"/>
    <w:rPr>
      <w:rFonts w:cs="Symbol"/>
      <w:sz w:val="22"/>
    </w:rPr>
  </w:style>
  <w:style w:type="character" w:customStyle="1" w:styleId="ListLabel126">
    <w:name w:val="ListLabel 126"/>
    <w:rPr>
      <w:rFonts w:cs="Wingdings"/>
    </w:rPr>
  </w:style>
  <w:style w:type="character" w:customStyle="1" w:styleId="ListLabel125">
    <w:name w:val="ListLabel 125"/>
    <w:rPr>
      <w:rFonts w:cs="Courier New"/>
    </w:rPr>
  </w:style>
  <w:style w:type="character" w:customStyle="1" w:styleId="ListLabel124">
    <w:name w:val="ListLabel 124"/>
    <w:rPr>
      <w:rFonts w:cs="Symbol"/>
    </w:rPr>
  </w:style>
  <w:style w:type="character" w:customStyle="1" w:styleId="ListLabel123">
    <w:name w:val="ListLabel 123"/>
    <w:rPr>
      <w:rFonts w:cs="Wingdings"/>
    </w:rPr>
  </w:style>
  <w:style w:type="character" w:customStyle="1" w:styleId="ListLabel122">
    <w:name w:val="ListLabel 122"/>
    <w:rPr>
      <w:rFonts w:cs="Courier New"/>
    </w:rPr>
  </w:style>
  <w:style w:type="character" w:customStyle="1" w:styleId="ListLabel121">
    <w:name w:val="ListLabel 121"/>
    <w:rPr>
      <w:rFonts w:cs="Symbol"/>
    </w:rPr>
  </w:style>
  <w:style w:type="character" w:customStyle="1" w:styleId="ListLabel120">
    <w:name w:val="ListLabel 120"/>
    <w:rPr>
      <w:rFonts w:cs="Wingdings"/>
    </w:rPr>
  </w:style>
  <w:style w:type="character" w:customStyle="1" w:styleId="ListLabel119">
    <w:name w:val="ListLabel 119"/>
    <w:rPr>
      <w:rFonts w:cs="Courier New"/>
    </w:rPr>
  </w:style>
  <w:style w:type="character" w:customStyle="1" w:styleId="ListLabel118">
    <w:name w:val="ListLabel 118"/>
    <w:rPr>
      <w:rFonts w:cs="Symbol"/>
      <w:sz w:val="22"/>
    </w:rPr>
  </w:style>
  <w:style w:type="character" w:customStyle="1" w:styleId="ListLabel117">
    <w:name w:val="ListLabel 117"/>
    <w:rPr>
      <w:rFonts w:cs="Wingdings"/>
    </w:rPr>
  </w:style>
  <w:style w:type="character" w:customStyle="1" w:styleId="ListLabel116">
    <w:name w:val="ListLabel 116"/>
    <w:rPr>
      <w:rFonts w:cs="Courier New"/>
    </w:rPr>
  </w:style>
  <w:style w:type="character" w:customStyle="1" w:styleId="ListLabel115">
    <w:name w:val="ListLabel 115"/>
    <w:rPr>
      <w:rFonts w:cs="Symbol"/>
    </w:rPr>
  </w:style>
  <w:style w:type="character" w:customStyle="1" w:styleId="ListLabel114">
    <w:name w:val="ListLabel 114"/>
    <w:rPr>
      <w:rFonts w:cs="Wingdings"/>
    </w:rPr>
  </w:style>
  <w:style w:type="character" w:customStyle="1" w:styleId="ListLabel113">
    <w:name w:val="ListLabel 113"/>
    <w:rPr>
      <w:rFonts w:cs="Courier New"/>
    </w:rPr>
  </w:style>
  <w:style w:type="character" w:customStyle="1" w:styleId="ListLabel112">
    <w:name w:val="ListLabel 112"/>
    <w:rPr>
      <w:rFonts w:cs="Symbol"/>
    </w:rPr>
  </w:style>
  <w:style w:type="character" w:customStyle="1" w:styleId="ListLabel111">
    <w:name w:val="ListLabel 111"/>
    <w:rPr>
      <w:rFonts w:cs="Wingdings"/>
    </w:rPr>
  </w:style>
  <w:style w:type="character" w:customStyle="1" w:styleId="ListLabel110">
    <w:name w:val="ListLabel 110"/>
    <w:rPr>
      <w:rFonts w:cs="Courier New"/>
    </w:rPr>
  </w:style>
  <w:style w:type="character" w:customStyle="1" w:styleId="ListLabel109">
    <w:name w:val="ListLabel 109"/>
    <w:rPr>
      <w:rFonts w:cs="Symbol"/>
      <w:sz w:val="22"/>
    </w:rPr>
  </w:style>
  <w:style w:type="character" w:customStyle="1" w:styleId="ListLabel108">
    <w:name w:val="ListLabel 108"/>
    <w:rPr>
      <w:rFonts w:cs="Wingdings"/>
    </w:rPr>
  </w:style>
  <w:style w:type="character" w:customStyle="1" w:styleId="ListLabel107">
    <w:name w:val="ListLabel 107"/>
    <w:rPr>
      <w:rFonts w:cs="Courier New"/>
    </w:rPr>
  </w:style>
  <w:style w:type="character" w:customStyle="1" w:styleId="ListLabel106">
    <w:name w:val="ListLabel 106"/>
    <w:rPr>
      <w:rFonts w:cs="Symbol"/>
    </w:rPr>
  </w:style>
  <w:style w:type="character" w:customStyle="1" w:styleId="ListLabel105">
    <w:name w:val="ListLabel 105"/>
    <w:rPr>
      <w:rFonts w:cs="Wingdings"/>
    </w:rPr>
  </w:style>
  <w:style w:type="character" w:customStyle="1" w:styleId="ListLabel104">
    <w:name w:val="ListLabel 104"/>
    <w:rPr>
      <w:rFonts w:cs="Courier New"/>
    </w:rPr>
  </w:style>
  <w:style w:type="character" w:customStyle="1" w:styleId="ListLabel103">
    <w:name w:val="ListLabel 103"/>
    <w:rPr>
      <w:rFonts w:cs="Symbol"/>
    </w:rPr>
  </w:style>
  <w:style w:type="character" w:customStyle="1" w:styleId="ListLabel102">
    <w:name w:val="ListLabel 102"/>
    <w:rPr>
      <w:rFonts w:cs="Wingdings"/>
    </w:rPr>
  </w:style>
  <w:style w:type="character" w:customStyle="1" w:styleId="ListLabel101">
    <w:name w:val="ListLabel 101"/>
    <w:rPr>
      <w:rFonts w:cs="Courier New"/>
    </w:rPr>
  </w:style>
  <w:style w:type="character" w:customStyle="1" w:styleId="ListLabel100">
    <w:name w:val="ListLabel 100"/>
    <w:rPr>
      <w:rFonts w:cs="Symbol"/>
      <w:sz w:val="22"/>
    </w:rPr>
  </w:style>
  <w:style w:type="character" w:customStyle="1" w:styleId="ListLabel99">
    <w:name w:val="ListLabel 99"/>
    <w:rPr>
      <w:rFonts w:cs="Wingdings"/>
    </w:rPr>
  </w:style>
  <w:style w:type="character" w:customStyle="1" w:styleId="ListLabel98">
    <w:name w:val="ListLabel 98"/>
    <w:rPr>
      <w:rFonts w:cs="Courier New"/>
    </w:rPr>
  </w:style>
  <w:style w:type="character" w:customStyle="1" w:styleId="ListLabel97">
    <w:name w:val="ListLabel 97"/>
    <w:rPr>
      <w:rFonts w:cs="Symbol"/>
    </w:rPr>
  </w:style>
  <w:style w:type="character" w:customStyle="1" w:styleId="ListLabel96">
    <w:name w:val="ListLabel 96"/>
    <w:rPr>
      <w:rFonts w:cs="Wingdings"/>
    </w:rPr>
  </w:style>
  <w:style w:type="character" w:customStyle="1" w:styleId="ListLabel95">
    <w:name w:val="ListLabel 95"/>
    <w:rPr>
      <w:rFonts w:cs="Courier New"/>
    </w:rPr>
  </w:style>
  <w:style w:type="character" w:customStyle="1" w:styleId="ListLabel94">
    <w:name w:val="ListLabel 94"/>
    <w:rPr>
      <w:rFonts w:cs="Symbol"/>
    </w:rPr>
  </w:style>
  <w:style w:type="character" w:customStyle="1" w:styleId="ListLabel93">
    <w:name w:val="ListLabel 93"/>
    <w:rPr>
      <w:rFonts w:cs="Wingdings"/>
    </w:rPr>
  </w:style>
  <w:style w:type="character" w:customStyle="1" w:styleId="ListLabel92">
    <w:name w:val="ListLabel 92"/>
    <w:rPr>
      <w:rFonts w:cs="Courier New"/>
    </w:rPr>
  </w:style>
  <w:style w:type="character" w:customStyle="1" w:styleId="ListLabel91">
    <w:name w:val="ListLabel 91"/>
    <w:rPr>
      <w:rFonts w:cs="Symbol"/>
      <w:sz w:val="22"/>
    </w:rPr>
  </w:style>
  <w:style w:type="character" w:customStyle="1" w:styleId="ListLabel90">
    <w:name w:val="ListLabel 90"/>
    <w:rPr>
      <w:rFonts w:cs="Wingdings"/>
    </w:rPr>
  </w:style>
  <w:style w:type="character" w:customStyle="1" w:styleId="ListLabel89">
    <w:name w:val="ListLabel 89"/>
    <w:rPr>
      <w:rFonts w:cs="Courier New"/>
    </w:rPr>
  </w:style>
  <w:style w:type="character" w:customStyle="1" w:styleId="ListLabel88">
    <w:name w:val="ListLabel 88"/>
    <w:rPr>
      <w:rFonts w:cs="Symbol"/>
    </w:rPr>
  </w:style>
  <w:style w:type="character" w:customStyle="1" w:styleId="ListLabel87">
    <w:name w:val="ListLabel 87"/>
    <w:rPr>
      <w:rFonts w:cs="Wingdings"/>
    </w:rPr>
  </w:style>
  <w:style w:type="character" w:customStyle="1" w:styleId="ListLabel86">
    <w:name w:val="ListLabel 86"/>
    <w:rPr>
      <w:rFonts w:cs="Courier New"/>
    </w:rPr>
  </w:style>
  <w:style w:type="character" w:customStyle="1" w:styleId="ListLabel85">
    <w:name w:val="ListLabel 85"/>
    <w:rPr>
      <w:rFonts w:cs="Symbol"/>
    </w:rPr>
  </w:style>
  <w:style w:type="character" w:customStyle="1" w:styleId="ListLabel84">
    <w:name w:val="ListLabel 84"/>
    <w:rPr>
      <w:rFonts w:cs="Wingdings"/>
    </w:rPr>
  </w:style>
  <w:style w:type="character" w:customStyle="1" w:styleId="ListLabel83">
    <w:name w:val="ListLabel 83"/>
    <w:rPr>
      <w:rFonts w:cs="Courier New"/>
    </w:rPr>
  </w:style>
  <w:style w:type="character" w:customStyle="1" w:styleId="ListLabel82">
    <w:name w:val="ListLabel 82"/>
    <w:rPr>
      <w:rFonts w:cs="Symbol"/>
      <w:sz w:val="22"/>
    </w:rPr>
  </w:style>
  <w:style w:type="character" w:customStyle="1" w:styleId="ListLabel81">
    <w:name w:val="ListLabel 81"/>
    <w:rPr>
      <w:rFonts w:cs="Wingdings"/>
    </w:rPr>
  </w:style>
  <w:style w:type="character" w:customStyle="1" w:styleId="ListLabel80">
    <w:name w:val="ListLabel 80"/>
    <w:rPr>
      <w:rFonts w:cs="Courier New"/>
    </w:rPr>
  </w:style>
  <w:style w:type="character" w:customStyle="1" w:styleId="ListLabel79">
    <w:name w:val="ListLabel 79"/>
    <w:rPr>
      <w:rFonts w:cs="Symbol"/>
    </w:rPr>
  </w:style>
  <w:style w:type="character" w:customStyle="1" w:styleId="ListLabel78">
    <w:name w:val="ListLabel 78"/>
    <w:rPr>
      <w:rFonts w:cs="Wingdings"/>
    </w:rPr>
  </w:style>
  <w:style w:type="character" w:customStyle="1" w:styleId="ListLabel77">
    <w:name w:val="ListLabel 77"/>
    <w:rPr>
      <w:rFonts w:cs="Courier New"/>
    </w:rPr>
  </w:style>
  <w:style w:type="character" w:customStyle="1" w:styleId="ListLabel76">
    <w:name w:val="ListLabel 76"/>
    <w:rPr>
      <w:rFonts w:cs="Symbol"/>
    </w:rPr>
  </w:style>
  <w:style w:type="character" w:customStyle="1" w:styleId="ListLabel75">
    <w:name w:val="ListLabel 75"/>
    <w:rPr>
      <w:rFonts w:cs="Wingdings"/>
    </w:rPr>
  </w:style>
  <w:style w:type="character" w:customStyle="1" w:styleId="ListLabel74">
    <w:name w:val="ListLabel 74"/>
    <w:rPr>
      <w:rFonts w:cs="Courier New"/>
    </w:rPr>
  </w:style>
  <w:style w:type="character" w:customStyle="1" w:styleId="ListLabel73">
    <w:name w:val="ListLabel 73"/>
    <w:rPr>
      <w:rFonts w:cs="Symbol"/>
      <w:sz w:val="22"/>
    </w:rPr>
  </w:style>
  <w:style w:type="character" w:customStyle="1" w:styleId="ListLabel72">
    <w:name w:val="ListLabel 72"/>
    <w:rPr>
      <w:rFonts w:cs="Wingdings"/>
    </w:rPr>
  </w:style>
  <w:style w:type="character" w:customStyle="1" w:styleId="ListLabel71">
    <w:name w:val="ListLabel 71"/>
    <w:rPr>
      <w:rFonts w:cs="Courier New"/>
    </w:rPr>
  </w:style>
  <w:style w:type="character" w:customStyle="1" w:styleId="ListLabel70">
    <w:name w:val="ListLabel 70"/>
    <w:rPr>
      <w:rFonts w:cs="Symbol"/>
    </w:rPr>
  </w:style>
  <w:style w:type="character" w:customStyle="1" w:styleId="ListLabel69">
    <w:name w:val="ListLabel 69"/>
    <w:rPr>
      <w:rFonts w:cs="Wingdings"/>
    </w:rPr>
  </w:style>
  <w:style w:type="character" w:customStyle="1" w:styleId="ListLabel68">
    <w:name w:val="ListLabel 68"/>
    <w:rPr>
      <w:rFonts w:cs="Courier New"/>
    </w:rPr>
  </w:style>
  <w:style w:type="character" w:customStyle="1" w:styleId="ListLabel67">
    <w:name w:val="ListLabel 67"/>
    <w:rPr>
      <w:rFonts w:cs="Symbol"/>
    </w:rPr>
  </w:style>
  <w:style w:type="character" w:customStyle="1" w:styleId="ListLabel66">
    <w:name w:val="ListLabel 66"/>
    <w:rPr>
      <w:rFonts w:cs="Wingdings"/>
    </w:rPr>
  </w:style>
  <w:style w:type="character" w:customStyle="1" w:styleId="ListLabel65">
    <w:name w:val="ListLabel 65"/>
    <w:rPr>
      <w:rFonts w:cs="Courier New"/>
    </w:rPr>
  </w:style>
  <w:style w:type="character" w:customStyle="1" w:styleId="ListLabel64">
    <w:name w:val="ListLabel 64"/>
    <w:rPr>
      <w:rFonts w:cs="Symbol"/>
      <w:sz w:val="22"/>
    </w:rPr>
  </w:style>
  <w:style w:type="character" w:customStyle="1" w:styleId="ListLabel63">
    <w:name w:val="ListLabel 63"/>
    <w:rPr>
      <w:rFonts w:cs="Wingdings"/>
    </w:rPr>
  </w:style>
  <w:style w:type="character" w:customStyle="1" w:styleId="ListLabel62">
    <w:name w:val="ListLabel 62"/>
    <w:rPr>
      <w:rFonts w:cs="Courier New"/>
    </w:rPr>
  </w:style>
  <w:style w:type="character" w:customStyle="1" w:styleId="ListLabel61">
    <w:name w:val="ListLabel 61"/>
    <w:rPr>
      <w:rFonts w:cs="Symbol"/>
    </w:rPr>
  </w:style>
  <w:style w:type="character" w:customStyle="1" w:styleId="ListLabel60">
    <w:name w:val="ListLabel 60"/>
    <w:rPr>
      <w:rFonts w:cs="Wingdings"/>
    </w:rPr>
  </w:style>
  <w:style w:type="character" w:customStyle="1" w:styleId="ListLabel59">
    <w:name w:val="ListLabel 59"/>
    <w:rPr>
      <w:rFonts w:cs="Courier New"/>
    </w:rPr>
  </w:style>
  <w:style w:type="character" w:customStyle="1" w:styleId="ListLabel58">
    <w:name w:val="ListLabel 58"/>
    <w:rPr>
      <w:rFonts w:cs="Symbol"/>
    </w:rPr>
  </w:style>
  <w:style w:type="character" w:customStyle="1" w:styleId="ListLabel57">
    <w:name w:val="ListLabel 57"/>
    <w:rPr>
      <w:rFonts w:cs="Wingdings"/>
    </w:rPr>
  </w:style>
  <w:style w:type="character" w:customStyle="1" w:styleId="ListLabel56">
    <w:name w:val="ListLabel 56"/>
    <w:rPr>
      <w:rFonts w:cs="Courier New"/>
    </w:rPr>
  </w:style>
  <w:style w:type="character" w:customStyle="1" w:styleId="ListLabel55">
    <w:name w:val="ListLabel 55"/>
    <w:rPr>
      <w:rFonts w:cs="Symbol"/>
      <w:sz w:val="22"/>
    </w:rPr>
  </w:style>
  <w:style w:type="character" w:customStyle="1" w:styleId="ListLabel54">
    <w:name w:val="ListLabel 54"/>
    <w:rPr>
      <w:rFonts w:cs="Wingdings"/>
    </w:rPr>
  </w:style>
  <w:style w:type="character" w:customStyle="1" w:styleId="ListLabel53">
    <w:name w:val="ListLabel 53"/>
    <w:rPr>
      <w:rFonts w:cs="Courier New"/>
    </w:rPr>
  </w:style>
  <w:style w:type="character" w:customStyle="1" w:styleId="ListLabel52">
    <w:name w:val="ListLabel 52"/>
    <w:rPr>
      <w:rFonts w:cs="Symbol"/>
    </w:rPr>
  </w:style>
  <w:style w:type="character" w:customStyle="1" w:styleId="ListLabel51">
    <w:name w:val="ListLabel 51"/>
    <w:rPr>
      <w:rFonts w:cs="Wingdings"/>
    </w:rPr>
  </w:style>
  <w:style w:type="character" w:customStyle="1" w:styleId="ListLabel50">
    <w:name w:val="ListLabel 50"/>
    <w:rPr>
      <w:rFonts w:cs="Courier New"/>
    </w:rPr>
  </w:style>
  <w:style w:type="character" w:customStyle="1" w:styleId="ListLabel49">
    <w:name w:val="ListLabel 49"/>
    <w:rPr>
      <w:rFonts w:cs="Symbol"/>
    </w:rPr>
  </w:style>
  <w:style w:type="character" w:customStyle="1" w:styleId="ListLabel48">
    <w:name w:val="ListLabel 48"/>
    <w:rPr>
      <w:rFonts w:cs="Wingdings"/>
    </w:rPr>
  </w:style>
  <w:style w:type="character" w:customStyle="1" w:styleId="ListLabel47">
    <w:name w:val="ListLabel 47"/>
    <w:rPr>
      <w:rFonts w:cs="Courier New"/>
    </w:rPr>
  </w:style>
  <w:style w:type="character" w:customStyle="1" w:styleId="ListLabel46">
    <w:name w:val="ListLabel 46"/>
    <w:rPr>
      <w:rFonts w:cs="Symbol"/>
      <w:sz w:val="22"/>
    </w:rPr>
  </w:style>
  <w:style w:type="character" w:customStyle="1" w:styleId="ListLabel45">
    <w:name w:val="ListLabel 45"/>
    <w:rPr>
      <w:rFonts w:cs="Wingdings"/>
    </w:rPr>
  </w:style>
  <w:style w:type="character" w:customStyle="1" w:styleId="ListLabel44">
    <w:name w:val="ListLabel 44"/>
    <w:rPr>
      <w:rFonts w:cs="Courier New"/>
    </w:rPr>
  </w:style>
  <w:style w:type="character" w:customStyle="1" w:styleId="ListLabel43">
    <w:name w:val="ListLabel 43"/>
    <w:rPr>
      <w:rFonts w:cs="Symbol"/>
    </w:rPr>
  </w:style>
  <w:style w:type="character" w:customStyle="1" w:styleId="ListLabel42">
    <w:name w:val="ListLabel 42"/>
    <w:rPr>
      <w:rFonts w:cs="Wingdings"/>
    </w:rPr>
  </w:style>
  <w:style w:type="character" w:customStyle="1" w:styleId="ListLabel41">
    <w:name w:val="ListLabel 41"/>
    <w:rPr>
      <w:rFonts w:cs="Courier New"/>
    </w:rPr>
  </w:style>
  <w:style w:type="character" w:customStyle="1" w:styleId="ListLabel40">
    <w:name w:val="ListLabel 40"/>
    <w:rPr>
      <w:rFonts w:cs="Symbol"/>
    </w:rPr>
  </w:style>
  <w:style w:type="character" w:customStyle="1" w:styleId="ListLabel39">
    <w:name w:val="ListLabel 39"/>
    <w:rPr>
      <w:rFonts w:cs="Wingdings"/>
    </w:rPr>
  </w:style>
  <w:style w:type="character" w:customStyle="1" w:styleId="ListLabel38">
    <w:name w:val="ListLabel 38"/>
    <w:rPr>
      <w:rFonts w:cs="Courier New"/>
    </w:rPr>
  </w:style>
  <w:style w:type="character" w:customStyle="1" w:styleId="ListLabel37">
    <w:name w:val="ListLabel 37"/>
    <w:rPr>
      <w:rFonts w:cs="Symbol"/>
      <w:sz w:val="22"/>
    </w:rPr>
  </w:style>
  <w:style w:type="character" w:customStyle="1" w:styleId="ListLabel36">
    <w:name w:val="ListLabel 36"/>
    <w:rPr>
      <w:rFonts w:cs="Wingdings"/>
    </w:rPr>
  </w:style>
  <w:style w:type="character" w:customStyle="1" w:styleId="ListLabel35">
    <w:name w:val="ListLabel 35"/>
    <w:rPr>
      <w:rFonts w:cs="Courier New"/>
    </w:rPr>
  </w:style>
  <w:style w:type="character" w:customStyle="1" w:styleId="ListLabel34">
    <w:name w:val="ListLabel 34"/>
    <w:rPr>
      <w:rFonts w:cs="Symbol"/>
    </w:rPr>
  </w:style>
  <w:style w:type="character" w:customStyle="1" w:styleId="ListLabel33">
    <w:name w:val="ListLabel 33"/>
    <w:rPr>
      <w:rFonts w:cs="Wingdings"/>
    </w:rPr>
  </w:style>
  <w:style w:type="character" w:customStyle="1" w:styleId="ListLabel32">
    <w:name w:val="ListLabel 32"/>
    <w:rPr>
      <w:rFonts w:cs="Courier New"/>
    </w:rPr>
  </w:style>
  <w:style w:type="character" w:customStyle="1" w:styleId="ListLabel31">
    <w:name w:val="ListLabel 31"/>
    <w:rPr>
      <w:rFonts w:cs="Symbol"/>
    </w:rPr>
  </w:style>
  <w:style w:type="character" w:customStyle="1" w:styleId="ListLabel30">
    <w:name w:val="ListLabel 30"/>
    <w:rPr>
      <w:rFonts w:cs="Wingdings"/>
    </w:rPr>
  </w:style>
  <w:style w:type="character" w:customStyle="1" w:styleId="ListLabel29">
    <w:name w:val="ListLabel 29"/>
    <w:rPr>
      <w:rFonts w:cs="Courier New"/>
    </w:rPr>
  </w:style>
  <w:style w:type="character" w:customStyle="1" w:styleId="ListLabel28">
    <w:name w:val="ListLabel 28"/>
    <w:rPr>
      <w:rFonts w:cs="Symbol"/>
      <w:sz w:val="22"/>
    </w:rPr>
  </w:style>
  <w:style w:type="character" w:customStyle="1" w:styleId="ListLabel27">
    <w:name w:val="ListLabel 27"/>
    <w:rPr>
      <w:rFonts w:cs="Wingdings"/>
    </w:rPr>
  </w:style>
  <w:style w:type="character" w:customStyle="1" w:styleId="ListLabel26">
    <w:name w:val="ListLabel 26"/>
    <w:rPr>
      <w:rFonts w:cs="Courier New"/>
    </w:rPr>
  </w:style>
  <w:style w:type="character" w:customStyle="1" w:styleId="ListLabel25">
    <w:name w:val="ListLabel 25"/>
    <w:rPr>
      <w:rFonts w:cs="Symbol"/>
    </w:rPr>
  </w:style>
  <w:style w:type="character" w:customStyle="1" w:styleId="ListLabel24">
    <w:name w:val="ListLabel 24"/>
    <w:rPr>
      <w:rFonts w:cs="Wingdings"/>
    </w:rPr>
  </w:style>
  <w:style w:type="character" w:customStyle="1" w:styleId="ListLabel23">
    <w:name w:val="ListLabel 23"/>
    <w:rPr>
      <w:rFonts w:cs="Courier New"/>
    </w:rPr>
  </w:style>
  <w:style w:type="character" w:customStyle="1" w:styleId="ListLabel22">
    <w:name w:val="ListLabel 22"/>
    <w:rPr>
      <w:rFonts w:cs="Symbol"/>
    </w:rPr>
  </w:style>
  <w:style w:type="character" w:customStyle="1" w:styleId="ListLabel21">
    <w:name w:val="ListLabel 21"/>
    <w:rPr>
      <w:rFonts w:cs="Wingdings"/>
    </w:rPr>
  </w:style>
  <w:style w:type="character" w:customStyle="1" w:styleId="ListLabel20">
    <w:name w:val="ListLabel 20"/>
    <w:rPr>
      <w:rFonts w:cs="Courier New"/>
    </w:rPr>
  </w:style>
  <w:style w:type="character" w:customStyle="1" w:styleId="ListLabel19">
    <w:name w:val="ListLabel 19"/>
    <w:rPr>
      <w:rFonts w:cs="Symbol"/>
    </w:rPr>
  </w:style>
  <w:style w:type="character" w:customStyle="1" w:styleId="ListLabel18">
    <w:name w:val="ListLabel 18"/>
    <w:rPr>
      <w:rFonts w:cs="Wingdings"/>
    </w:rPr>
  </w:style>
  <w:style w:type="character" w:customStyle="1" w:styleId="ListLabel17">
    <w:name w:val="ListLabel 17"/>
    <w:rPr>
      <w:rFonts w:cs="Courier New"/>
    </w:rPr>
  </w:style>
  <w:style w:type="character" w:customStyle="1" w:styleId="ListLabel16">
    <w:name w:val="ListLabel 16"/>
    <w:rPr>
      <w:rFonts w:cs="Symbol"/>
    </w:rPr>
  </w:style>
  <w:style w:type="character" w:customStyle="1" w:styleId="ListLabel15">
    <w:name w:val="ListLabel 15"/>
    <w:rPr>
      <w:rFonts w:cs="Wingdings"/>
    </w:rPr>
  </w:style>
  <w:style w:type="character" w:customStyle="1" w:styleId="ListLabel14">
    <w:name w:val="ListLabel 14"/>
    <w:rPr>
      <w:rFonts w:cs="Courier New"/>
    </w:rPr>
  </w:style>
  <w:style w:type="character" w:customStyle="1" w:styleId="ListLabel13">
    <w:name w:val="ListLabel 13"/>
    <w:rPr>
      <w:rFonts w:cs="Symbol"/>
    </w:rPr>
  </w:style>
  <w:style w:type="character" w:customStyle="1" w:styleId="ListLabel12">
    <w:name w:val="ListLabel 12"/>
    <w:rPr>
      <w:rFonts w:cs="Wingdings"/>
    </w:rPr>
  </w:style>
  <w:style w:type="character" w:customStyle="1" w:styleId="ListLabel11">
    <w:name w:val="ListLabel 11"/>
    <w:rPr>
      <w:rFonts w:cs="Courier New"/>
    </w:rPr>
  </w:style>
  <w:style w:type="character" w:customStyle="1" w:styleId="ListLabel10">
    <w:name w:val="ListLabel 10"/>
    <w:rPr>
      <w:rFonts w:cs="Symbol"/>
    </w:rPr>
  </w:style>
  <w:style w:type="character" w:customStyle="1" w:styleId="ListLabel9">
    <w:name w:val="ListLabel 9"/>
    <w:rPr>
      <w:rFonts w:cs="Courier New"/>
    </w:rPr>
  </w:style>
  <w:style w:type="character" w:customStyle="1" w:styleId="ListLabel8">
    <w:name w:val="ListLabel 8"/>
    <w:rPr>
      <w:rFonts w:cs="Courier New"/>
    </w:rPr>
  </w:style>
  <w:style w:type="character" w:customStyle="1" w:styleId="ListLabel7">
    <w:name w:val="ListLabel 7"/>
    <w:rPr>
      <w:rFonts w:cs="Courier New"/>
    </w:rPr>
  </w:style>
  <w:style w:type="character" w:customStyle="1" w:styleId="ListLabel6">
    <w:name w:val="ListLabel 6"/>
    <w:rPr>
      <w:rFonts w:cs="Courier New"/>
    </w:rPr>
  </w:style>
  <w:style w:type="character" w:customStyle="1" w:styleId="ListLabel5">
    <w:name w:val="ListLabel 5"/>
    <w:rPr>
      <w:rFonts w:cs="Courier New"/>
    </w:rPr>
  </w:style>
  <w:style w:type="character" w:customStyle="1" w:styleId="ListLabel4">
    <w:name w:val="ListLabel 4"/>
    <w:rPr>
      <w:rFonts w:cs="Courier New"/>
    </w:rPr>
  </w:style>
  <w:style w:type="character" w:customStyle="1" w:styleId="ListLabel3">
    <w:name w:val="ListLabel 3"/>
    <w:rPr>
      <w:rFonts w:cs="Courier New"/>
    </w:rPr>
  </w:style>
  <w:style w:type="character" w:customStyle="1" w:styleId="ListLabel2">
    <w:name w:val="ListLabel 2"/>
    <w:rPr>
      <w:rFonts w:cs="Courier New"/>
    </w:rPr>
  </w:style>
  <w:style w:type="character" w:customStyle="1" w:styleId="ListLabel1">
    <w:name w:val="ListLabel 1"/>
    <w:rPr>
      <w:rFonts w:cs="Courier New"/>
    </w:rPr>
  </w:style>
  <w:style w:type="character" w:customStyle="1" w:styleId="PodnojeChar">
    <w:name w:val="Podnožje Char"/>
    <w:basedOn w:val="Zadanifontodlomka"/>
  </w:style>
  <w:style w:type="character" w:customStyle="1" w:styleId="ZaglavljeChar">
    <w:name w:val="Zaglavlje Char"/>
    <w:basedOn w:val="Zadanifontodlomka"/>
  </w:style>
  <w:style w:type="character" w:customStyle="1" w:styleId="TekstbaloniaChar">
    <w:name w:val="Tekst balončića Char"/>
    <w:basedOn w:val="Zadanifontodlomka"/>
    <w:rPr>
      <w:rFonts w:ascii="Tahoma" w:hAnsi="Tahoma" w:cs="Tahoma"/>
      <w:sz w:val="16"/>
      <w:szCs w:val="16"/>
    </w:rPr>
  </w:style>
  <w:style w:type="numbering" w:customStyle="1" w:styleId="NoList">
    <w:name w:val="No List"/>
    <w:basedOn w:val="Bezpopisa"/>
    <w:pPr>
      <w:numPr>
        <w:numId w:val="1"/>
      </w:numPr>
    </w:pPr>
  </w:style>
  <w:style w:type="numbering" w:customStyle="1" w:styleId="WWNum1">
    <w:name w:val="WWNum1"/>
    <w:basedOn w:val="Bezpopisa"/>
    <w:pPr>
      <w:numPr>
        <w:numId w:val="2"/>
      </w:numPr>
    </w:pPr>
  </w:style>
  <w:style w:type="numbering" w:customStyle="1" w:styleId="WWNum2">
    <w:name w:val="WWNum2"/>
    <w:basedOn w:val="Bezpopisa"/>
    <w:pPr>
      <w:numPr>
        <w:numId w:val="3"/>
      </w:numPr>
    </w:pPr>
  </w:style>
  <w:style w:type="numbering" w:customStyle="1" w:styleId="WWNum3">
    <w:name w:val="WWNum3"/>
    <w:basedOn w:val="Bezpopisa"/>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w:kern w:val="3"/>
        <w:sz w:val="24"/>
        <w:szCs w:val="24"/>
        <w:lang w:val="hr-HR" w:eastAsia="zh-CN" w:bidi="hi-IN"/>
      </w:rPr>
    </w:rPrDefault>
    <w:pPrDefault>
      <w:pPr>
        <w:suppressAutoHyphens/>
        <w:autoSpaceDN w:val="0"/>
        <w:spacing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88" w:lineRule="auto"/>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ramecontents">
    <w:name w:val="Frame contents"/>
    <w:basedOn w:val="Standard"/>
  </w:style>
  <w:style w:type="paragraph" w:styleId="Podnoje">
    <w:name w:val="footer"/>
    <w:basedOn w:val="Standard"/>
    <w:pPr>
      <w:tabs>
        <w:tab w:val="center" w:pos="4536"/>
        <w:tab w:val="right" w:pos="9072"/>
      </w:tabs>
      <w:spacing w:line="240" w:lineRule="auto"/>
    </w:pPr>
  </w:style>
  <w:style w:type="paragraph" w:styleId="Zaglavlje">
    <w:name w:val="header"/>
    <w:basedOn w:val="Standard"/>
    <w:pPr>
      <w:tabs>
        <w:tab w:val="center" w:pos="4536"/>
        <w:tab w:val="right" w:pos="9072"/>
      </w:tabs>
      <w:spacing w:line="240" w:lineRule="auto"/>
    </w:pPr>
  </w:style>
  <w:style w:type="paragraph" w:styleId="Tekstbalonia">
    <w:name w:val="Balloon Text"/>
    <w:basedOn w:val="Standard"/>
    <w:pPr>
      <w:spacing w:line="240" w:lineRule="auto"/>
    </w:pPr>
    <w:rPr>
      <w:rFonts w:ascii="Tahoma" w:hAnsi="Tahoma" w:cs="Tahoma"/>
      <w:sz w:val="16"/>
      <w:szCs w:val="16"/>
    </w:rPr>
  </w:style>
  <w:style w:type="paragraph" w:styleId="Odlomakpopisa">
    <w:name w:val="List Paragraph"/>
    <w:basedOn w:val="Standard"/>
    <w:pPr>
      <w:spacing w:after="200"/>
      <w:ind w:left="72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character" w:customStyle="1" w:styleId="ListLabel135">
    <w:name w:val="ListLabel 135"/>
    <w:rPr>
      <w:rFonts w:cs="Wingdings"/>
    </w:rPr>
  </w:style>
  <w:style w:type="character" w:customStyle="1" w:styleId="ListLabel134">
    <w:name w:val="ListLabel 134"/>
    <w:rPr>
      <w:rFonts w:cs="Courier New"/>
    </w:rPr>
  </w:style>
  <w:style w:type="character" w:customStyle="1" w:styleId="ListLabel133">
    <w:name w:val="ListLabel 133"/>
    <w:rPr>
      <w:rFonts w:cs="Symbol"/>
    </w:rPr>
  </w:style>
  <w:style w:type="character" w:customStyle="1" w:styleId="ListLabel132">
    <w:name w:val="ListLabel 132"/>
    <w:rPr>
      <w:rFonts w:cs="Wingdings"/>
    </w:rPr>
  </w:style>
  <w:style w:type="character" w:customStyle="1" w:styleId="ListLabel131">
    <w:name w:val="ListLabel 131"/>
    <w:rPr>
      <w:rFonts w:cs="Courier New"/>
    </w:rPr>
  </w:style>
  <w:style w:type="character" w:customStyle="1" w:styleId="ListLabel130">
    <w:name w:val="ListLabel 130"/>
    <w:rPr>
      <w:rFonts w:cs="Symbol"/>
    </w:rPr>
  </w:style>
  <w:style w:type="character" w:customStyle="1" w:styleId="ListLabel129">
    <w:name w:val="ListLabel 129"/>
    <w:rPr>
      <w:rFonts w:cs="Wingdings"/>
    </w:rPr>
  </w:style>
  <w:style w:type="character" w:customStyle="1" w:styleId="ListLabel128">
    <w:name w:val="ListLabel 128"/>
    <w:rPr>
      <w:rFonts w:cs="Courier New"/>
    </w:rPr>
  </w:style>
  <w:style w:type="character" w:customStyle="1" w:styleId="ListLabel127">
    <w:name w:val="ListLabel 127"/>
    <w:rPr>
      <w:rFonts w:cs="Symbol"/>
      <w:sz w:val="22"/>
    </w:rPr>
  </w:style>
  <w:style w:type="character" w:customStyle="1" w:styleId="ListLabel126">
    <w:name w:val="ListLabel 126"/>
    <w:rPr>
      <w:rFonts w:cs="Wingdings"/>
    </w:rPr>
  </w:style>
  <w:style w:type="character" w:customStyle="1" w:styleId="ListLabel125">
    <w:name w:val="ListLabel 125"/>
    <w:rPr>
      <w:rFonts w:cs="Courier New"/>
    </w:rPr>
  </w:style>
  <w:style w:type="character" w:customStyle="1" w:styleId="ListLabel124">
    <w:name w:val="ListLabel 124"/>
    <w:rPr>
      <w:rFonts w:cs="Symbol"/>
    </w:rPr>
  </w:style>
  <w:style w:type="character" w:customStyle="1" w:styleId="ListLabel123">
    <w:name w:val="ListLabel 123"/>
    <w:rPr>
      <w:rFonts w:cs="Wingdings"/>
    </w:rPr>
  </w:style>
  <w:style w:type="character" w:customStyle="1" w:styleId="ListLabel122">
    <w:name w:val="ListLabel 122"/>
    <w:rPr>
      <w:rFonts w:cs="Courier New"/>
    </w:rPr>
  </w:style>
  <w:style w:type="character" w:customStyle="1" w:styleId="ListLabel121">
    <w:name w:val="ListLabel 121"/>
    <w:rPr>
      <w:rFonts w:cs="Symbol"/>
    </w:rPr>
  </w:style>
  <w:style w:type="character" w:customStyle="1" w:styleId="ListLabel120">
    <w:name w:val="ListLabel 120"/>
    <w:rPr>
      <w:rFonts w:cs="Wingdings"/>
    </w:rPr>
  </w:style>
  <w:style w:type="character" w:customStyle="1" w:styleId="ListLabel119">
    <w:name w:val="ListLabel 119"/>
    <w:rPr>
      <w:rFonts w:cs="Courier New"/>
    </w:rPr>
  </w:style>
  <w:style w:type="character" w:customStyle="1" w:styleId="ListLabel118">
    <w:name w:val="ListLabel 118"/>
    <w:rPr>
      <w:rFonts w:cs="Symbol"/>
      <w:sz w:val="22"/>
    </w:rPr>
  </w:style>
  <w:style w:type="character" w:customStyle="1" w:styleId="ListLabel117">
    <w:name w:val="ListLabel 117"/>
    <w:rPr>
      <w:rFonts w:cs="Wingdings"/>
    </w:rPr>
  </w:style>
  <w:style w:type="character" w:customStyle="1" w:styleId="ListLabel116">
    <w:name w:val="ListLabel 116"/>
    <w:rPr>
      <w:rFonts w:cs="Courier New"/>
    </w:rPr>
  </w:style>
  <w:style w:type="character" w:customStyle="1" w:styleId="ListLabel115">
    <w:name w:val="ListLabel 115"/>
    <w:rPr>
      <w:rFonts w:cs="Symbol"/>
    </w:rPr>
  </w:style>
  <w:style w:type="character" w:customStyle="1" w:styleId="ListLabel114">
    <w:name w:val="ListLabel 114"/>
    <w:rPr>
      <w:rFonts w:cs="Wingdings"/>
    </w:rPr>
  </w:style>
  <w:style w:type="character" w:customStyle="1" w:styleId="ListLabel113">
    <w:name w:val="ListLabel 113"/>
    <w:rPr>
      <w:rFonts w:cs="Courier New"/>
    </w:rPr>
  </w:style>
  <w:style w:type="character" w:customStyle="1" w:styleId="ListLabel112">
    <w:name w:val="ListLabel 112"/>
    <w:rPr>
      <w:rFonts w:cs="Symbol"/>
    </w:rPr>
  </w:style>
  <w:style w:type="character" w:customStyle="1" w:styleId="ListLabel111">
    <w:name w:val="ListLabel 111"/>
    <w:rPr>
      <w:rFonts w:cs="Wingdings"/>
    </w:rPr>
  </w:style>
  <w:style w:type="character" w:customStyle="1" w:styleId="ListLabel110">
    <w:name w:val="ListLabel 110"/>
    <w:rPr>
      <w:rFonts w:cs="Courier New"/>
    </w:rPr>
  </w:style>
  <w:style w:type="character" w:customStyle="1" w:styleId="ListLabel109">
    <w:name w:val="ListLabel 109"/>
    <w:rPr>
      <w:rFonts w:cs="Symbol"/>
      <w:sz w:val="22"/>
    </w:rPr>
  </w:style>
  <w:style w:type="character" w:customStyle="1" w:styleId="ListLabel108">
    <w:name w:val="ListLabel 108"/>
    <w:rPr>
      <w:rFonts w:cs="Wingdings"/>
    </w:rPr>
  </w:style>
  <w:style w:type="character" w:customStyle="1" w:styleId="ListLabel107">
    <w:name w:val="ListLabel 107"/>
    <w:rPr>
      <w:rFonts w:cs="Courier New"/>
    </w:rPr>
  </w:style>
  <w:style w:type="character" w:customStyle="1" w:styleId="ListLabel106">
    <w:name w:val="ListLabel 106"/>
    <w:rPr>
      <w:rFonts w:cs="Symbol"/>
    </w:rPr>
  </w:style>
  <w:style w:type="character" w:customStyle="1" w:styleId="ListLabel105">
    <w:name w:val="ListLabel 105"/>
    <w:rPr>
      <w:rFonts w:cs="Wingdings"/>
    </w:rPr>
  </w:style>
  <w:style w:type="character" w:customStyle="1" w:styleId="ListLabel104">
    <w:name w:val="ListLabel 104"/>
    <w:rPr>
      <w:rFonts w:cs="Courier New"/>
    </w:rPr>
  </w:style>
  <w:style w:type="character" w:customStyle="1" w:styleId="ListLabel103">
    <w:name w:val="ListLabel 103"/>
    <w:rPr>
      <w:rFonts w:cs="Symbol"/>
    </w:rPr>
  </w:style>
  <w:style w:type="character" w:customStyle="1" w:styleId="ListLabel102">
    <w:name w:val="ListLabel 102"/>
    <w:rPr>
      <w:rFonts w:cs="Wingdings"/>
    </w:rPr>
  </w:style>
  <w:style w:type="character" w:customStyle="1" w:styleId="ListLabel101">
    <w:name w:val="ListLabel 101"/>
    <w:rPr>
      <w:rFonts w:cs="Courier New"/>
    </w:rPr>
  </w:style>
  <w:style w:type="character" w:customStyle="1" w:styleId="ListLabel100">
    <w:name w:val="ListLabel 100"/>
    <w:rPr>
      <w:rFonts w:cs="Symbol"/>
      <w:sz w:val="22"/>
    </w:rPr>
  </w:style>
  <w:style w:type="character" w:customStyle="1" w:styleId="ListLabel99">
    <w:name w:val="ListLabel 99"/>
    <w:rPr>
      <w:rFonts w:cs="Wingdings"/>
    </w:rPr>
  </w:style>
  <w:style w:type="character" w:customStyle="1" w:styleId="ListLabel98">
    <w:name w:val="ListLabel 98"/>
    <w:rPr>
      <w:rFonts w:cs="Courier New"/>
    </w:rPr>
  </w:style>
  <w:style w:type="character" w:customStyle="1" w:styleId="ListLabel97">
    <w:name w:val="ListLabel 97"/>
    <w:rPr>
      <w:rFonts w:cs="Symbol"/>
    </w:rPr>
  </w:style>
  <w:style w:type="character" w:customStyle="1" w:styleId="ListLabel96">
    <w:name w:val="ListLabel 96"/>
    <w:rPr>
      <w:rFonts w:cs="Wingdings"/>
    </w:rPr>
  </w:style>
  <w:style w:type="character" w:customStyle="1" w:styleId="ListLabel95">
    <w:name w:val="ListLabel 95"/>
    <w:rPr>
      <w:rFonts w:cs="Courier New"/>
    </w:rPr>
  </w:style>
  <w:style w:type="character" w:customStyle="1" w:styleId="ListLabel94">
    <w:name w:val="ListLabel 94"/>
    <w:rPr>
      <w:rFonts w:cs="Symbol"/>
    </w:rPr>
  </w:style>
  <w:style w:type="character" w:customStyle="1" w:styleId="ListLabel93">
    <w:name w:val="ListLabel 93"/>
    <w:rPr>
      <w:rFonts w:cs="Wingdings"/>
    </w:rPr>
  </w:style>
  <w:style w:type="character" w:customStyle="1" w:styleId="ListLabel92">
    <w:name w:val="ListLabel 92"/>
    <w:rPr>
      <w:rFonts w:cs="Courier New"/>
    </w:rPr>
  </w:style>
  <w:style w:type="character" w:customStyle="1" w:styleId="ListLabel91">
    <w:name w:val="ListLabel 91"/>
    <w:rPr>
      <w:rFonts w:cs="Symbol"/>
      <w:sz w:val="22"/>
    </w:rPr>
  </w:style>
  <w:style w:type="character" w:customStyle="1" w:styleId="ListLabel90">
    <w:name w:val="ListLabel 90"/>
    <w:rPr>
      <w:rFonts w:cs="Wingdings"/>
    </w:rPr>
  </w:style>
  <w:style w:type="character" w:customStyle="1" w:styleId="ListLabel89">
    <w:name w:val="ListLabel 89"/>
    <w:rPr>
      <w:rFonts w:cs="Courier New"/>
    </w:rPr>
  </w:style>
  <w:style w:type="character" w:customStyle="1" w:styleId="ListLabel88">
    <w:name w:val="ListLabel 88"/>
    <w:rPr>
      <w:rFonts w:cs="Symbol"/>
    </w:rPr>
  </w:style>
  <w:style w:type="character" w:customStyle="1" w:styleId="ListLabel87">
    <w:name w:val="ListLabel 87"/>
    <w:rPr>
      <w:rFonts w:cs="Wingdings"/>
    </w:rPr>
  </w:style>
  <w:style w:type="character" w:customStyle="1" w:styleId="ListLabel86">
    <w:name w:val="ListLabel 86"/>
    <w:rPr>
      <w:rFonts w:cs="Courier New"/>
    </w:rPr>
  </w:style>
  <w:style w:type="character" w:customStyle="1" w:styleId="ListLabel85">
    <w:name w:val="ListLabel 85"/>
    <w:rPr>
      <w:rFonts w:cs="Symbol"/>
    </w:rPr>
  </w:style>
  <w:style w:type="character" w:customStyle="1" w:styleId="ListLabel84">
    <w:name w:val="ListLabel 84"/>
    <w:rPr>
      <w:rFonts w:cs="Wingdings"/>
    </w:rPr>
  </w:style>
  <w:style w:type="character" w:customStyle="1" w:styleId="ListLabel83">
    <w:name w:val="ListLabel 83"/>
    <w:rPr>
      <w:rFonts w:cs="Courier New"/>
    </w:rPr>
  </w:style>
  <w:style w:type="character" w:customStyle="1" w:styleId="ListLabel82">
    <w:name w:val="ListLabel 82"/>
    <w:rPr>
      <w:rFonts w:cs="Symbol"/>
      <w:sz w:val="22"/>
    </w:rPr>
  </w:style>
  <w:style w:type="character" w:customStyle="1" w:styleId="ListLabel81">
    <w:name w:val="ListLabel 81"/>
    <w:rPr>
      <w:rFonts w:cs="Wingdings"/>
    </w:rPr>
  </w:style>
  <w:style w:type="character" w:customStyle="1" w:styleId="ListLabel80">
    <w:name w:val="ListLabel 80"/>
    <w:rPr>
      <w:rFonts w:cs="Courier New"/>
    </w:rPr>
  </w:style>
  <w:style w:type="character" w:customStyle="1" w:styleId="ListLabel79">
    <w:name w:val="ListLabel 79"/>
    <w:rPr>
      <w:rFonts w:cs="Symbol"/>
    </w:rPr>
  </w:style>
  <w:style w:type="character" w:customStyle="1" w:styleId="ListLabel78">
    <w:name w:val="ListLabel 78"/>
    <w:rPr>
      <w:rFonts w:cs="Wingdings"/>
    </w:rPr>
  </w:style>
  <w:style w:type="character" w:customStyle="1" w:styleId="ListLabel77">
    <w:name w:val="ListLabel 77"/>
    <w:rPr>
      <w:rFonts w:cs="Courier New"/>
    </w:rPr>
  </w:style>
  <w:style w:type="character" w:customStyle="1" w:styleId="ListLabel76">
    <w:name w:val="ListLabel 76"/>
    <w:rPr>
      <w:rFonts w:cs="Symbol"/>
    </w:rPr>
  </w:style>
  <w:style w:type="character" w:customStyle="1" w:styleId="ListLabel75">
    <w:name w:val="ListLabel 75"/>
    <w:rPr>
      <w:rFonts w:cs="Wingdings"/>
    </w:rPr>
  </w:style>
  <w:style w:type="character" w:customStyle="1" w:styleId="ListLabel74">
    <w:name w:val="ListLabel 74"/>
    <w:rPr>
      <w:rFonts w:cs="Courier New"/>
    </w:rPr>
  </w:style>
  <w:style w:type="character" w:customStyle="1" w:styleId="ListLabel73">
    <w:name w:val="ListLabel 73"/>
    <w:rPr>
      <w:rFonts w:cs="Symbol"/>
      <w:sz w:val="22"/>
    </w:rPr>
  </w:style>
  <w:style w:type="character" w:customStyle="1" w:styleId="ListLabel72">
    <w:name w:val="ListLabel 72"/>
    <w:rPr>
      <w:rFonts w:cs="Wingdings"/>
    </w:rPr>
  </w:style>
  <w:style w:type="character" w:customStyle="1" w:styleId="ListLabel71">
    <w:name w:val="ListLabel 71"/>
    <w:rPr>
      <w:rFonts w:cs="Courier New"/>
    </w:rPr>
  </w:style>
  <w:style w:type="character" w:customStyle="1" w:styleId="ListLabel70">
    <w:name w:val="ListLabel 70"/>
    <w:rPr>
      <w:rFonts w:cs="Symbol"/>
    </w:rPr>
  </w:style>
  <w:style w:type="character" w:customStyle="1" w:styleId="ListLabel69">
    <w:name w:val="ListLabel 69"/>
    <w:rPr>
      <w:rFonts w:cs="Wingdings"/>
    </w:rPr>
  </w:style>
  <w:style w:type="character" w:customStyle="1" w:styleId="ListLabel68">
    <w:name w:val="ListLabel 68"/>
    <w:rPr>
      <w:rFonts w:cs="Courier New"/>
    </w:rPr>
  </w:style>
  <w:style w:type="character" w:customStyle="1" w:styleId="ListLabel67">
    <w:name w:val="ListLabel 67"/>
    <w:rPr>
      <w:rFonts w:cs="Symbol"/>
    </w:rPr>
  </w:style>
  <w:style w:type="character" w:customStyle="1" w:styleId="ListLabel66">
    <w:name w:val="ListLabel 66"/>
    <w:rPr>
      <w:rFonts w:cs="Wingdings"/>
    </w:rPr>
  </w:style>
  <w:style w:type="character" w:customStyle="1" w:styleId="ListLabel65">
    <w:name w:val="ListLabel 65"/>
    <w:rPr>
      <w:rFonts w:cs="Courier New"/>
    </w:rPr>
  </w:style>
  <w:style w:type="character" w:customStyle="1" w:styleId="ListLabel64">
    <w:name w:val="ListLabel 64"/>
    <w:rPr>
      <w:rFonts w:cs="Symbol"/>
      <w:sz w:val="22"/>
    </w:rPr>
  </w:style>
  <w:style w:type="character" w:customStyle="1" w:styleId="ListLabel63">
    <w:name w:val="ListLabel 63"/>
    <w:rPr>
      <w:rFonts w:cs="Wingdings"/>
    </w:rPr>
  </w:style>
  <w:style w:type="character" w:customStyle="1" w:styleId="ListLabel62">
    <w:name w:val="ListLabel 62"/>
    <w:rPr>
      <w:rFonts w:cs="Courier New"/>
    </w:rPr>
  </w:style>
  <w:style w:type="character" w:customStyle="1" w:styleId="ListLabel61">
    <w:name w:val="ListLabel 61"/>
    <w:rPr>
      <w:rFonts w:cs="Symbol"/>
    </w:rPr>
  </w:style>
  <w:style w:type="character" w:customStyle="1" w:styleId="ListLabel60">
    <w:name w:val="ListLabel 60"/>
    <w:rPr>
      <w:rFonts w:cs="Wingdings"/>
    </w:rPr>
  </w:style>
  <w:style w:type="character" w:customStyle="1" w:styleId="ListLabel59">
    <w:name w:val="ListLabel 59"/>
    <w:rPr>
      <w:rFonts w:cs="Courier New"/>
    </w:rPr>
  </w:style>
  <w:style w:type="character" w:customStyle="1" w:styleId="ListLabel58">
    <w:name w:val="ListLabel 58"/>
    <w:rPr>
      <w:rFonts w:cs="Symbol"/>
    </w:rPr>
  </w:style>
  <w:style w:type="character" w:customStyle="1" w:styleId="ListLabel57">
    <w:name w:val="ListLabel 57"/>
    <w:rPr>
      <w:rFonts w:cs="Wingdings"/>
    </w:rPr>
  </w:style>
  <w:style w:type="character" w:customStyle="1" w:styleId="ListLabel56">
    <w:name w:val="ListLabel 56"/>
    <w:rPr>
      <w:rFonts w:cs="Courier New"/>
    </w:rPr>
  </w:style>
  <w:style w:type="character" w:customStyle="1" w:styleId="ListLabel55">
    <w:name w:val="ListLabel 55"/>
    <w:rPr>
      <w:rFonts w:cs="Symbol"/>
      <w:sz w:val="22"/>
    </w:rPr>
  </w:style>
  <w:style w:type="character" w:customStyle="1" w:styleId="ListLabel54">
    <w:name w:val="ListLabel 54"/>
    <w:rPr>
      <w:rFonts w:cs="Wingdings"/>
    </w:rPr>
  </w:style>
  <w:style w:type="character" w:customStyle="1" w:styleId="ListLabel53">
    <w:name w:val="ListLabel 53"/>
    <w:rPr>
      <w:rFonts w:cs="Courier New"/>
    </w:rPr>
  </w:style>
  <w:style w:type="character" w:customStyle="1" w:styleId="ListLabel52">
    <w:name w:val="ListLabel 52"/>
    <w:rPr>
      <w:rFonts w:cs="Symbol"/>
    </w:rPr>
  </w:style>
  <w:style w:type="character" w:customStyle="1" w:styleId="ListLabel51">
    <w:name w:val="ListLabel 51"/>
    <w:rPr>
      <w:rFonts w:cs="Wingdings"/>
    </w:rPr>
  </w:style>
  <w:style w:type="character" w:customStyle="1" w:styleId="ListLabel50">
    <w:name w:val="ListLabel 50"/>
    <w:rPr>
      <w:rFonts w:cs="Courier New"/>
    </w:rPr>
  </w:style>
  <w:style w:type="character" w:customStyle="1" w:styleId="ListLabel49">
    <w:name w:val="ListLabel 49"/>
    <w:rPr>
      <w:rFonts w:cs="Symbol"/>
    </w:rPr>
  </w:style>
  <w:style w:type="character" w:customStyle="1" w:styleId="ListLabel48">
    <w:name w:val="ListLabel 48"/>
    <w:rPr>
      <w:rFonts w:cs="Wingdings"/>
    </w:rPr>
  </w:style>
  <w:style w:type="character" w:customStyle="1" w:styleId="ListLabel47">
    <w:name w:val="ListLabel 47"/>
    <w:rPr>
      <w:rFonts w:cs="Courier New"/>
    </w:rPr>
  </w:style>
  <w:style w:type="character" w:customStyle="1" w:styleId="ListLabel46">
    <w:name w:val="ListLabel 46"/>
    <w:rPr>
      <w:rFonts w:cs="Symbol"/>
      <w:sz w:val="22"/>
    </w:rPr>
  </w:style>
  <w:style w:type="character" w:customStyle="1" w:styleId="ListLabel45">
    <w:name w:val="ListLabel 45"/>
    <w:rPr>
      <w:rFonts w:cs="Wingdings"/>
    </w:rPr>
  </w:style>
  <w:style w:type="character" w:customStyle="1" w:styleId="ListLabel44">
    <w:name w:val="ListLabel 44"/>
    <w:rPr>
      <w:rFonts w:cs="Courier New"/>
    </w:rPr>
  </w:style>
  <w:style w:type="character" w:customStyle="1" w:styleId="ListLabel43">
    <w:name w:val="ListLabel 43"/>
    <w:rPr>
      <w:rFonts w:cs="Symbol"/>
    </w:rPr>
  </w:style>
  <w:style w:type="character" w:customStyle="1" w:styleId="ListLabel42">
    <w:name w:val="ListLabel 42"/>
    <w:rPr>
      <w:rFonts w:cs="Wingdings"/>
    </w:rPr>
  </w:style>
  <w:style w:type="character" w:customStyle="1" w:styleId="ListLabel41">
    <w:name w:val="ListLabel 41"/>
    <w:rPr>
      <w:rFonts w:cs="Courier New"/>
    </w:rPr>
  </w:style>
  <w:style w:type="character" w:customStyle="1" w:styleId="ListLabel40">
    <w:name w:val="ListLabel 40"/>
    <w:rPr>
      <w:rFonts w:cs="Symbol"/>
    </w:rPr>
  </w:style>
  <w:style w:type="character" w:customStyle="1" w:styleId="ListLabel39">
    <w:name w:val="ListLabel 39"/>
    <w:rPr>
      <w:rFonts w:cs="Wingdings"/>
    </w:rPr>
  </w:style>
  <w:style w:type="character" w:customStyle="1" w:styleId="ListLabel38">
    <w:name w:val="ListLabel 38"/>
    <w:rPr>
      <w:rFonts w:cs="Courier New"/>
    </w:rPr>
  </w:style>
  <w:style w:type="character" w:customStyle="1" w:styleId="ListLabel37">
    <w:name w:val="ListLabel 37"/>
    <w:rPr>
      <w:rFonts w:cs="Symbol"/>
      <w:sz w:val="22"/>
    </w:rPr>
  </w:style>
  <w:style w:type="character" w:customStyle="1" w:styleId="ListLabel36">
    <w:name w:val="ListLabel 36"/>
    <w:rPr>
      <w:rFonts w:cs="Wingdings"/>
    </w:rPr>
  </w:style>
  <w:style w:type="character" w:customStyle="1" w:styleId="ListLabel35">
    <w:name w:val="ListLabel 35"/>
    <w:rPr>
      <w:rFonts w:cs="Courier New"/>
    </w:rPr>
  </w:style>
  <w:style w:type="character" w:customStyle="1" w:styleId="ListLabel34">
    <w:name w:val="ListLabel 34"/>
    <w:rPr>
      <w:rFonts w:cs="Symbol"/>
    </w:rPr>
  </w:style>
  <w:style w:type="character" w:customStyle="1" w:styleId="ListLabel33">
    <w:name w:val="ListLabel 33"/>
    <w:rPr>
      <w:rFonts w:cs="Wingdings"/>
    </w:rPr>
  </w:style>
  <w:style w:type="character" w:customStyle="1" w:styleId="ListLabel32">
    <w:name w:val="ListLabel 32"/>
    <w:rPr>
      <w:rFonts w:cs="Courier New"/>
    </w:rPr>
  </w:style>
  <w:style w:type="character" w:customStyle="1" w:styleId="ListLabel31">
    <w:name w:val="ListLabel 31"/>
    <w:rPr>
      <w:rFonts w:cs="Symbol"/>
    </w:rPr>
  </w:style>
  <w:style w:type="character" w:customStyle="1" w:styleId="ListLabel30">
    <w:name w:val="ListLabel 30"/>
    <w:rPr>
      <w:rFonts w:cs="Wingdings"/>
    </w:rPr>
  </w:style>
  <w:style w:type="character" w:customStyle="1" w:styleId="ListLabel29">
    <w:name w:val="ListLabel 29"/>
    <w:rPr>
      <w:rFonts w:cs="Courier New"/>
    </w:rPr>
  </w:style>
  <w:style w:type="character" w:customStyle="1" w:styleId="ListLabel28">
    <w:name w:val="ListLabel 28"/>
    <w:rPr>
      <w:rFonts w:cs="Symbol"/>
      <w:sz w:val="22"/>
    </w:rPr>
  </w:style>
  <w:style w:type="character" w:customStyle="1" w:styleId="ListLabel27">
    <w:name w:val="ListLabel 27"/>
    <w:rPr>
      <w:rFonts w:cs="Wingdings"/>
    </w:rPr>
  </w:style>
  <w:style w:type="character" w:customStyle="1" w:styleId="ListLabel26">
    <w:name w:val="ListLabel 26"/>
    <w:rPr>
      <w:rFonts w:cs="Courier New"/>
    </w:rPr>
  </w:style>
  <w:style w:type="character" w:customStyle="1" w:styleId="ListLabel25">
    <w:name w:val="ListLabel 25"/>
    <w:rPr>
      <w:rFonts w:cs="Symbol"/>
    </w:rPr>
  </w:style>
  <w:style w:type="character" w:customStyle="1" w:styleId="ListLabel24">
    <w:name w:val="ListLabel 24"/>
    <w:rPr>
      <w:rFonts w:cs="Wingdings"/>
    </w:rPr>
  </w:style>
  <w:style w:type="character" w:customStyle="1" w:styleId="ListLabel23">
    <w:name w:val="ListLabel 23"/>
    <w:rPr>
      <w:rFonts w:cs="Courier New"/>
    </w:rPr>
  </w:style>
  <w:style w:type="character" w:customStyle="1" w:styleId="ListLabel22">
    <w:name w:val="ListLabel 22"/>
    <w:rPr>
      <w:rFonts w:cs="Symbol"/>
    </w:rPr>
  </w:style>
  <w:style w:type="character" w:customStyle="1" w:styleId="ListLabel21">
    <w:name w:val="ListLabel 21"/>
    <w:rPr>
      <w:rFonts w:cs="Wingdings"/>
    </w:rPr>
  </w:style>
  <w:style w:type="character" w:customStyle="1" w:styleId="ListLabel20">
    <w:name w:val="ListLabel 20"/>
    <w:rPr>
      <w:rFonts w:cs="Courier New"/>
    </w:rPr>
  </w:style>
  <w:style w:type="character" w:customStyle="1" w:styleId="ListLabel19">
    <w:name w:val="ListLabel 19"/>
    <w:rPr>
      <w:rFonts w:cs="Symbol"/>
    </w:rPr>
  </w:style>
  <w:style w:type="character" w:customStyle="1" w:styleId="ListLabel18">
    <w:name w:val="ListLabel 18"/>
    <w:rPr>
      <w:rFonts w:cs="Wingdings"/>
    </w:rPr>
  </w:style>
  <w:style w:type="character" w:customStyle="1" w:styleId="ListLabel17">
    <w:name w:val="ListLabel 17"/>
    <w:rPr>
      <w:rFonts w:cs="Courier New"/>
    </w:rPr>
  </w:style>
  <w:style w:type="character" w:customStyle="1" w:styleId="ListLabel16">
    <w:name w:val="ListLabel 16"/>
    <w:rPr>
      <w:rFonts w:cs="Symbol"/>
    </w:rPr>
  </w:style>
  <w:style w:type="character" w:customStyle="1" w:styleId="ListLabel15">
    <w:name w:val="ListLabel 15"/>
    <w:rPr>
      <w:rFonts w:cs="Wingdings"/>
    </w:rPr>
  </w:style>
  <w:style w:type="character" w:customStyle="1" w:styleId="ListLabel14">
    <w:name w:val="ListLabel 14"/>
    <w:rPr>
      <w:rFonts w:cs="Courier New"/>
    </w:rPr>
  </w:style>
  <w:style w:type="character" w:customStyle="1" w:styleId="ListLabel13">
    <w:name w:val="ListLabel 13"/>
    <w:rPr>
      <w:rFonts w:cs="Symbol"/>
    </w:rPr>
  </w:style>
  <w:style w:type="character" w:customStyle="1" w:styleId="ListLabel12">
    <w:name w:val="ListLabel 12"/>
    <w:rPr>
      <w:rFonts w:cs="Wingdings"/>
    </w:rPr>
  </w:style>
  <w:style w:type="character" w:customStyle="1" w:styleId="ListLabel11">
    <w:name w:val="ListLabel 11"/>
    <w:rPr>
      <w:rFonts w:cs="Courier New"/>
    </w:rPr>
  </w:style>
  <w:style w:type="character" w:customStyle="1" w:styleId="ListLabel10">
    <w:name w:val="ListLabel 10"/>
    <w:rPr>
      <w:rFonts w:cs="Symbol"/>
    </w:rPr>
  </w:style>
  <w:style w:type="character" w:customStyle="1" w:styleId="ListLabel9">
    <w:name w:val="ListLabel 9"/>
    <w:rPr>
      <w:rFonts w:cs="Courier New"/>
    </w:rPr>
  </w:style>
  <w:style w:type="character" w:customStyle="1" w:styleId="ListLabel8">
    <w:name w:val="ListLabel 8"/>
    <w:rPr>
      <w:rFonts w:cs="Courier New"/>
    </w:rPr>
  </w:style>
  <w:style w:type="character" w:customStyle="1" w:styleId="ListLabel7">
    <w:name w:val="ListLabel 7"/>
    <w:rPr>
      <w:rFonts w:cs="Courier New"/>
    </w:rPr>
  </w:style>
  <w:style w:type="character" w:customStyle="1" w:styleId="ListLabel6">
    <w:name w:val="ListLabel 6"/>
    <w:rPr>
      <w:rFonts w:cs="Courier New"/>
    </w:rPr>
  </w:style>
  <w:style w:type="character" w:customStyle="1" w:styleId="ListLabel5">
    <w:name w:val="ListLabel 5"/>
    <w:rPr>
      <w:rFonts w:cs="Courier New"/>
    </w:rPr>
  </w:style>
  <w:style w:type="character" w:customStyle="1" w:styleId="ListLabel4">
    <w:name w:val="ListLabel 4"/>
    <w:rPr>
      <w:rFonts w:cs="Courier New"/>
    </w:rPr>
  </w:style>
  <w:style w:type="character" w:customStyle="1" w:styleId="ListLabel3">
    <w:name w:val="ListLabel 3"/>
    <w:rPr>
      <w:rFonts w:cs="Courier New"/>
    </w:rPr>
  </w:style>
  <w:style w:type="character" w:customStyle="1" w:styleId="ListLabel2">
    <w:name w:val="ListLabel 2"/>
    <w:rPr>
      <w:rFonts w:cs="Courier New"/>
    </w:rPr>
  </w:style>
  <w:style w:type="character" w:customStyle="1" w:styleId="ListLabel1">
    <w:name w:val="ListLabel 1"/>
    <w:rPr>
      <w:rFonts w:cs="Courier New"/>
    </w:rPr>
  </w:style>
  <w:style w:type="character" w:customStyle="1" w:styleId="PodnojeChar">
    <w:name w:val="Podnožje Char"/>
    <w:basedOn w:val="Zadanifontodlomka"/>
  </w:style>
  <w:style w:type="character" w:customStyle="1" w:styleId="ZaglavljeChar">
    <w:name w:val="Zaglavlje Char"/>
    <w:basedOn w:val="Zadanifontodlomka"/>
  </w:style>
  <w:style w:type="character" w:customStyle="1" w:styleId="TekstbaloniaChar">
    <w:name w:val="Tekst balončića Char"/>
    <w:basedOn w:val="Zadanifontodlomka"/>
    <w:rPr>
      <w:rFonts w:ascii="Tahoma" w:hAnsi="Tahoma" w:cs="Tahoma"/>
      <w:sz w:val="16"/>
      <w:szCs w:val="16"/>
    </w:rPr>
  </w:style>
  <w:style w:type="numbering" w:customStyle="1" w:styleId="NoList">
    <w:name w:val="No List"/>
    <w:basedOn w:val="Bezpopisa"/>
    <w:pPr>
      <w:numPr>
        <w:numId w:val="1"/>
      </w:numPr>
    </w:pPr>
  </w:style>
  <w:style w:type="numbering" w:customStyle="1" w:styleId="WWNum1">
    <w:name w:val="WWNum1"/>
    <w:basedOn w:val="Bezpopisa"/>
    <w:pPr>
      <w:numPr>
        <w:numId w:val="2"/>
      </w:numPr>
    </w:pPr>
  </w:style>
  <w:style w:type="numbering" w:customStyle="1" w:styleId="WWNum2">
    <w:name w:val="WWNum2"/>
    <w:basedOn w:val="Bezpopisa"/>
    <w:pPr>
      <w:numPr>
        <w:numId w:val="3"/>
      </w:numPr>
    </w:pPr>
  </w:style>
  <w:style w:type="numbering" w:customStyle="1" w:styleId="WWNum3">
    <w:name w:val="WWNum3"/>
    <w:basedOn w:val="Bezpopis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tko/AppData/Roaming/LibreOffice/4/user/template/Novi%20dokument.ott"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Novi%20dokument.ott</Template>
  <TotalTime>316</TotalTime>
  <Pages>7</Pages>
  <Words>2138</Words>
  <Characters>12188</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Novi dokument</vt:lpstr>
    </vt:vector>
  </TitlesOfParts>
  <Company/>
  <LinksUpToDate>false</LinksUpToDate>
  <CharactersWithSpaces>14298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Novi dokument</dc:title>
  <dc:creator>Jasna Radulović</dc:creator>
  <cp:lastModifiedBy>Jasna Radulović</cp:lastModifiedBy>
  <cp:revision>1</cp:revision>
  <cp:lastPrinted>2016-12-21T09:49:00Z</cp:lastPrinted>
  <dcterms:created xsi:type="dcterms:W3CDTF">2016-12-10T11:53:00Z</dcterms:created>
  <dcterms:modified xsi:type="dcterms:W3CDTF">2017-01-02T14:26:00Z</dcterms:modified>
</cp:coreProperties>
</file>